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768A" w14:textId="05B841F9" w:rsidR="00315079" w:rsidRDefault="00A15E1F">
      <w:pPr>
        <w:pStyle w:val="Tekstpodstawowy21"/>
        <w:spacing w:before="100"/>
        <w:jc w:val="right"/>
        <w:rPr>
          <w:rFonts w:ascii="Tahoma" w:hAnsi="Tahoma"/>
          <w:sz w:val="22"/>
          <w:szCs w:val="22"/>
        </w:rPr>
      </w:pPr>
      <w:r>
        <w:rPr>
          <w:rFonts w:ascii="Tahoma" w:hAnsi="Tahoma"/>
          <w:b/>
          <w:sz w:val="22"/>
          <w:szCs w:val="22"/>
        </w:rPr>
        <w:t xml:space="preserve">Załącznik nr </w:t>
      </w:r>
      <w:r w:rsidR="00FB23A4">
        <w:rPr>
          <w:rFonts w:ascii="Tahoma" w:hAnsi="Tahoma"/>
          <w:b/>
          <w:sz w:val="22"/>
          <w:szCs w:val="22"/>
        </w:rPr>
        <w:t>6</w:t>
      </w:r>
    </w:p>
    <w:p w14:paraId="0F7882AC" w14:textId="77777777" w:rsidR="00315079" w:rsidRDefault="00315079">
      <w:pPr>
        <w:suppressAutoHyphens w:val="0"/>
        <w:jc w:val="center"/>
        <w:rPr>
          <w:rFonts w:ascii="Tahoma" w:hAnsi="Tahoma"/>
          <w:b/>
          <w:bCs/>
          <w:color w:val="FF0000"/>
          <w:sz w:val="22"/>
          <w:szCs w:val="22"/>
          <w:lang w:eastAsia="pl-PL"/>
        </w:rPr>
      </w:pPr>
    </w:p>
    <w:p w14:paraId="1D39C1C0" w14:textId="77777777" w:rsidR="00315079" w:rsidRDefault="00315079">
      <w:pPr>
        <w:suppressAutoHyphens w:val="0"/>
        <w:jc w:val="center"/>
        <w:rPr>
          <w:rFonts w:ascii="Tahoma" w:hAnsi="Tahoma"/>
          <w:b/>
          <w:bCs/>
          <w:color w:val="FF0000"/>
          <w:sz w:val="22"/>
          <w:szCs w:val="22"/>
          <w:lang w:eastAsia="pl-PL"/>
        </w:rPr>
      </w:pPr>
    </w:p>
    <w:p w14:paraId="4BCA9E3E" w14:textId="77777777" w:rsidR="00315079" w:rsidRDefault="00A15E1F">
      <w:pPr>
        <w:pStyle w:val="Tekstpodstawowy21"/>
        <w:spacing w:before="100"/>
        <w:rPr>
          <w:rFonts w:ascii="Tahoma" w:hAnsi="Tahoma"/>
          <w:sz w:val="22"/>
          <w:szCs w:val="22"/>
        </w:rPr>
      </w:pPr>
      <w:r>
        <w:rPr>
          <w:rFonts w:ascii="Tahoma" w:hAnsi="Tahoma"/>
          <w:b/>
          <w:color w:val="0070C0"/>
          <w:sz w:val="22"/>
          <w:szCs w:val="22"/>
          <w:u w:val="single"/>
        </w:rPr>
        <w:t xml:space="preserve">ISTOTNE POSTANOWIENIA UMOWY </w:t>
      </w:r>
    </w:p>
    <w:p w14:paraId="372592E8" w14:textId="77777777" w:rsidR="00315079" w:rsidRPr="00EE1781" w:rsidRDefault="00A15E1F">
      <w:pPr>
        <w:pStyle w:val="Tekstpodstawowy21"/>
        <w:spacing w:before="100"/>
        <w:rPr>
          <w:rFonts w:ascii="Tahoma" w:hAnsi="Tahoma"/>
          <w:b/>
          <w:bCs/>
          <w:sz w:val="22"/>
          <w:szCs w:val="22"/>
        </w:rPr>
      </w:pPr>
      <w:r w:rsidRPr="00EE1781">
        <w:rPr>
          <w:rFonts w:ascii="Tahoma" w:hAnsi="Tahoma"/>
          <w:b/>
          <w:bCs/>
          <w:sz w:val="22"/>
          <w:szCs w:val="22"/>
        </w:rPr>
        <w:t>ISTOTNE POSTANOWIENIA UMOWY:</w:t>
      </w:r>
    </w:p>
    <w:p w14:paraId="378194B7" w14:textId="48CDD5E8" w:rsidR="00315079" w:rsidRDefault="00A15E1F">
      <w:pPr>
        <w:pStyle w:val="Styl1"/>
        <w:numPr>
          <w:ilvl w:val="0"/>
          <w:numId w:val="11"/>
        </w:numPr>
        <w:rPr>
          <w:rFonts w:cs="Tahoma"/>
          <w:color w:val="000000"/>
          <w:szCs w:val="22"/>
        </w:rPr>
      </w:pPr>
      <w:r>
        <w:rPr>
          <w:rFonts w:cs="Tahoma"/>
          <w:color w:val="000000"/>
          <w:szCs w:val="22"/>
        </w:rPr>
        <w:t xml:space="preserve">Przedmiotem umowy jest sukcesywny zakup paliw płynnych, materiałów eksploatacyjnych oraz usług w systemie sprzedaży bezgotówkowej do samochodów służbowych, oferowanych na stacji benzynowej prowadzonej przez Wykonawcę dla Wielospecjalistycznego Szpitala – Samodzielnego Publicznego Zespołu Opieki Zdrowotnej w Zgorzelcu. </w:t>
      </w:r>
    </w:p>
    <w:p w14:paraId="79A3CE32" w14:textId="0689DB61" w:rsidR="00F877A1" w:rsidRPr="00F877A1" w:rsidRDefault="00F877A1" w:rsidP="00F877A1">
      <w:pPr>
        <w:pStyle w:val="Styl1"/>
        <w:numPr>
          <w:ilvl w:val="0"/>
          <w:numId w:val="11"/>
        </w:numPr>
        <w:rPr>
          <w:szCs w:val="22"/>
        </w:rPr>
      </w:pPr>
      <w:r>
        <w:rPr>
          <w:rFonts w:cs="Tahoma"/>
          <w:color w:val="000000"/>
          <w:szCs w:val="22"/>
        </w:rPr>
        <w:t>Sukcesywny zakup paliw  płynnych oraz materiałów eksploatacyjnych, akcesoriów i usług związanych z eksploatacją samochodów służbowych dokonywany będzie w systemie bezgotówkowym za pomocą kart paliwowych na stacji paliw zlokalizowanej (stacja podstawowa) ………</w:t>
      </w:r>
      <w:r w:rsidR="00D4321A">
        <w:rPr>
          <w:rFonts w:cs="Tahoma"/>
          <w:color w:val="000000"/>
          <w:szCs w:val="22"/>
        </w:rPr>
        <w:t>………….</w:t>
      </w:r>
      <w:r>
        <w:rPr>
          <w:rFonts w:cs="Tahoma"/>
          <w:color w:val="000000"/>
          <w:szCs w:val="22"/>
        </w:rPr>
        <w:t xml:space="preserve"> . </w:t>
      </w:r>
    </w:p>
    <w:p w14:paraId="3F0E26E8" w14:textId="6B05AE45" w:rsidR="00457C74" w:rsidRPr="00FB23A4" w:rsidRDefault="00A258E4" w:rsidP="00A258E4">
      <w:pPr>
        <w:pStyle w:val="Styl1"/>
        <w:numPr>
          <w:ilvl w:val="0"/>
          <w:numId w:val="11"/>
        </w:numPr>
        <w:rPr>
          <w:rFonts w:cs="Tahoma"/>
          <w:szCs w:val="22"/>
        </w:rPr>
      </w:pPr>
      <w:r w:rsidRPr="00FB23A4">
        <w:rPr>
          <w:rFonts w:cs="Tahoma"/>
          <w:szCs w:val="22"/>
        </w:rPr>
        <w:t>Zamawiający dopuszcza możliwość korzystania ze stacji innych podmiotów zrzeszonych w danej sieci i akceptujących karty paliwowe wydane przez Wykonawcę, przypadku awarii stacji podstawowej.</w:t>
      </w:r>
    </w:p>
    <w:p w14:paraId="3CF7B6D3" w14:textId="3348A0AA" w:rsidR="00395FE9" w:rsidRPr="00FB23A4" w:rsidRDefault="00395FE9">
      <w:pPr>
        <w:pStyle w:val="Styl1"/>
        <w:numPr>
          <w:ilvl w:val="0"/>
          <w:numId w:val="12"/>
        </w:numPr>
        <w:rPr>
          <w:szCs w:val="22"/>
        </w:rPr>
      </w:pPr>
      <w:r w:rsidRPr="00FB23A4">
        <w:rPr>
          <w:rFonts w:cs="Tahoma"/>
          <w:szCs w:val="22"/>
        </w:rPr>
        <w:t>Zamawiający wymaga, aby dostawy były realizowane na stacjach paliw Wykonawcy, czynnych codziennie (7 dni tygodniu) przez 24 godziny na dobę.</w:t>
      </w:r>
    </w:p>
    <w:p w14:paraId="1CA44E89" w14:textId="77777777" w:rsidR="00315079" w:rsidRDefault="00A15E1F">
      <w:pPr>
        <w:pStyle w:val="Styl1"/>
        <w:numPr>
          <w:ilvl w:val="0"/>
          <w:numId w:val="12"/>
        </w:numPr>
        <w:rPr>
          <w:szCs w:val="22"/>
        </w:rPr>
      </w:pPr>
      <w:r>
        <w:rPr>
          <w:rFonts w:cs="Tahoma"/>
          <w:color w:val="000000"/>
          <w:szCs w:val="22"/>
        </w:rPr>
        <w:t>Przez okres obowiązywania umowy Wykonawca zobowiązany jest do sprzedaży paliw płynnych w jednostkowych cenach obowiązujących w dniu zakupu na danej stacji paliw  Wykonawcy, z uwzględnieniem stałego rabatu w wysokości:</w:t>
      </w:r>
    </w:p>
    <w:p w14:paraId="666597B0" w14:textId="1B02B7C9" w:rsidR="00315079" w:rsidRDefault="00A15E1F">
      <w:pPr>
        <w:pStyle w:val="Styl1"/>
        <w:ind w:left="360"/>
        <w:rPr>
          <w:szCs w:val="22"/>
        </w:rPr>
      </w:pPr>
      <w:r>
        <w:rPr>
          <w:rFonts w:cs="Tahoma"/>
          <w:color w:val="000000"/>
          <w:szCs w:val="22"/>
        </w:rPr>
        <w:t>a) dla benzyny bezołowiowej Pb-95 - ……………zł</w:t>
      </w:r>
      <w:r w:rsidR="00A73909">
        <w:rPr>
          <w:rFonts w:cs="Tahoma"/>
          <w:color w:val="000000"/>
          <w:szCs w:val="22"/>
        </w:rPr>
        <w:t>,</w:t>
      </w:r>
    </w:p>
    <w:p w14:paraId="62792FF0" w14:textId="66DECE31" w:rsidR="00315079" w:rsidRDefault="00A15E1F">
      <w:pPr>
        <w:pStyle w:val="Styl1"/>
        <w:ind w:left="360"/>
        <w:rPr>
          <w:rFonts w:cs="Tahoma"/>
          <w:color w:val="000000"/>
          <w:szCs w:val="22"/>
        </w:rPr>
      </w:pPr>
      <w:r>
        <w:rPr>
          <w:rFonts w:cs="Tahoma"/>
          <w:color w:val="000000"/>
          <w:szCs w:val="22"/>
        </w:rPr>
        <w:t>b) dla oleju napędowego ON -…………zł</w:t>
      </w:r>
      <w:r w:rsidR="00A73909">
        <w:rPr>
          <w:rFonts w:cs="Tahoma"/>
          <w:color w:val="000000"/>
          <w:szCs w:val="22"/>
        </w:rPr>
        <w:t>,</w:t>
      </w:r>
    </w:p>
    <w:p w14:paraId="5E30E90C" w14:textId="0FB27B49" w:rsidR="00315079" w:rsidRPr="00FB23A4" w:rsidRDefault="00A15E1F">
      <w:pPr>
        <w:pStyle w:val="Styl1"/>
        <w:ind w:left="360"/>
        <w:rPr>
          <w:szCs w:val="22"/>
        </w:rPr>
      </w:pPr>
      <w:r>
        <w:rPr>
          <w:rFonts w:cs="Tahoma"/>
          <w:color w:val="000000"/>
          <w:szCs w:val="22"/>
        </w:rPr>
        <w:t>c</w:t>
      </w:r>
      <w:r w:rsidR="00A73909">
        <w:rPr>
          <w:rFonts w:cs="Tahoma"/>
          <w:color w:val="000000"/>
          <w:szCs w:val="22"/>
        </w:rPr>
        <w:t xml:space="preserve">) materiałów eksploatacyjnych (olejów silnikowych, płynów do chłodnic, płynów do spryskiwaczy, płynów hamulcowych, woda destylowana, żarówki itp. – </w:t>
      </w:r>
      <w:r w:rsidR="00A73909" w:rsidRPr="00FB23A4">
        <w:rPr>
          <w:rFonts w:cs="Tahoma"/>
          <w:szCs w:val="22"/>
        </w:rPr>
        <w:t>wszystkie oferowane na stacji Wykonawcy) - …………….%.</w:t>
      </w:r>
    </w:p>
    <w:p w14:paraId="1569498E" w14:textId="1AB8B94B" w:rsidR="00315079" w:rsidRPr="00F877A1" w:rsidRDefault="00A15E1F" w:rsidP="00BE6BA9">
      <w:pPr>
        <w:pStyle w:val="Styl1"/>
        <w:numPr>
          <w:ilvl w:val="0"/>
          <w:numId w:val="12"/>
        </w:numPr>
        <w:rPr>
          <w:szCs w:val="22"/>
        </w:rPr>
      </w:pPr>
      <w:r>
        <w:rPr>
          <w:rFonts w:cs="Tahoma"/>
          <w:color w:val="000000"/>
          <w:szCs w:val="22"/>
        </w:rPr>
        <w:t>Maksymalne wynagrodzenie Wykonawcy z tytułu wykonania niniejszej umowy nie przekroczy kwoty w wysokoś</w:t>
      </w:r>
      <w:r w:rsidR="00BE6BA9">
        <w:rPr>
          <w:rFonts w:cs="Tahoma"/>
          <w:color w:val="000000"/>
          <w:szCs w:val="22"/>
        </w:rPr>
        <w:t xml:space="preserve">ci </w:t>
      </w:r>
      <w:r w:rsidR="00BE6BA9" w:rsidRPr="00F877A1">
        <w:rPr>
          <w:rFonts w:cs="Tahoma"/>
          <w:b/>
          <w:bCs/>
          <w:szCs w:val="22"/>
        </w:rPr>
        <w:t>1 </w:t>
      </w:r>
      <w:r w:rsidR="00A4355A">
        <w:rPr>
          <w:rFonts w:cs="Tahoma"/>
          <w:b/>
          <w:bCs/>
          <w:szCs w:val="22"/>
        </w:rPr>
        <w:t>1</w:t>
      </w:r>
      <w:r>
        <w:rPr>
          <w:rFonts w:cs="Tahoma"/>
          <w:b/>
          <w:bCs/>
          <w:szCs w:val="22"/>
        </w:rPr>
        <w:t>00</w:t>
      </w:r>
      <w:r w:rsidR="00BE6BA9" w:rsidRPr="00F877A1">
        <w:rPr>
          <w:rFonts w:cs="Tahoma"/>
          <w:b/>
          <w:bCs/>
          <w:szCs w:val="22"/>
        </w:rPr>
        <w:t> 000</w:t>
      </w:r>
      <w:r w:rsidR="00BE6BA9" w:rsidRPr="00F877A1">
        <w:rPr>
          <w:b/>
          <w:bCs/>
          <w:szCs w:val="22"/>
        </w:rPr>
        <w:t>,00</w:t>
      </w:r>
      <w:r w:rsidRPr="00F877A1">
        <w:rPr>
          <w:rFonts w:cs="Tahoma"/>
          <w:b/>
          <w:bCs/>
          <w:szCs w:val="22"/>
        </w:rPr>
        <w:t xml:space="preserve"> zł brutto</w:t>
      </w:r>
      <w:r w:rsidR="00BE6BA9" w:rsidRPr="00F877A1">
        <w:rPr>
          <w:rFonts w:cs="Tahoma"/>
          <w:b/>
          <w:bCs/>
          <w:szCs w:val="22"/>
        </w:rPr>
        <w:t>.</w:t>
      </w:r>
    </w:p>
    <w:p w14:paraId="02052554" w14:textId="12E9340D" w:rsidR="00315079" w:rsidRDefault="00A15E1F">
      <w:pPr>
        <w:pStyle w:val="Styl1"/>
        <w:numPr>
          <w:ilvl w:val="0"/>
          <w:numId w:val="12"/>
        </w:numPr>
        <w:rPr>
          <w:szCs w:val="22"/>
        </w:rPr>
      </w:pPr>
      <w:r>
        <w:rPr>
          <w:rFonts w:cs="Tahoma"/>
          <w:color w:val="000000"/>
          <w:szCs w:val="22"/>
        </w:rPr>
        <w:t xml:space="preserve">Umowa realizowana będzie sukcesywnie w terminie od dnia jej zawarcia przez okres </w:t>
      </w:r>
      <w:r w:rsidRPr="001E544C">
        <w:rPr>
          <w:rFonts w:cs="Tahoma"/>
          <w:b/>
          <w:bCs/>
          <w:color w:val="000000"/>
          <w:szCs w:val="22"/>
        </w:rPr>
        <w:t>2</w:t>
      </w:r>
      <w:r w:rsidR="00A4355A">
        <w:rPr>
          <w:rFonts w:cs="Tahoma"/>
          <w:b/>
          <w:bCs/>
          <w:color w:val="000000"/>
          <w:szCs w:val="22"/>
        </w:rPr>
        <w:t>4</w:t>
      </w:r>
      <w:r w:rsidRPr="001E544C">
        <w:rPr>
          <w:rFonts w:cs="Tahoma"/>
          <w:b/>
          <w:bCs/>
          <w:color w:val="000000"/>
          <w:szCs w:val="22"/>
        </w:rPr>
        <w:t xml:space="preserve"> miesi</w:t>
      </w:r>
      <w:r w:rsidR="00A4355A">
        <w:rPr>
          <w:rFonts w:cs="Tahoma"/>
          <w:b/>
          <w:bCs/>
          <w:color w:val="000000"/>
          <w:szCs w:val="22"/>
        </w:rPr>
        <w:t>ą</w:t>
      </w:r>
      <w:r w:rsidRPr="001E544C">
        <w:rPr>
          <w:rFonts w:cs="Tahoma"/>
          <w:b/>
          <w:bCs/>
          <w:color w:val="000000"/>
          <w:szCs w:val="22"/>
        </w:rPr>
        <w:t>c</w:t>
      </w:r>
      <w:r w:rsidR="00A4355A">
        <w:rPr>
          <w:rFonts w:cs="Tahoma"/>
          <w:b/>
          <w:bCs/>
          <w:color w:val="000000"/>
          <w:szCs w:val="22"/>
        </w:rPr>
        <w:t>e</w:t>
      </w:r>
      <w:r w:rsidRPr="001E544C">
        <w:rPr>
          <w:rFonts w:cs="Tahoma"/>
          <w:b/>
          <w:bCs/>
          <w:color w:val="000000"/>
          <w:szCs w:val="22"/>
        </w:rPr>
        <w:t xml:space="preserve"> </w:t>
      </w:r>
      <w:r>
        <w:rPr>
          <w:rFonts w:cs="Tahoma"/>
          <w:color w:val="000000"/>
          <w:szCs w:val="22"/>
        </w:rPr>
        <w:t>lub do wyczerpania maksymalnej wartości brutto umowy.</w:t>
      </w:r>
    </w:p>
    <w:p w14:paraId="1A75A724" w14:textId="7711FFC6" w:rsidR="00315079" w:rsidRDefault="00A15E1F">
      <w:pPr>
        <w:pStyle w:val="Styl1"/>
        <w:numPr>
          <w:ilvl w:val="0"/>
          <w:numId w:val="13"/>
        </w:numPr>
        <w:rPr>
          <w:szCs w:val="22"/>
        </w:rPr>
      </w:pPr>
      <w:r>
        <w:rPr>
          <w:rFonts w:cs="Tahoma"/>
          <w:color w:val="000000"/>
          <w:szCs w:val="22"/>
        </w:rPr>
        <w:t>Szacunkowe zapotrzebowanie na paliwo w okresie</w:t>
      </w:r>
      <w:r w:rsidR="00CE06E4">
        <w:rPr>
          <w:rFonts w:cs="Tahoma"/>
          <w:color w:val="000000"/>
          <w:szCs w:val="22"/>
        </w:rPr>
        <w:t xml:space="preserve"> miesiąca</w:t>
      </w:r>
      <w:r>
        <w:rPr>
          <w:rFonts w:cs="Tahoma"/>
          <w:color w:val="000000"/>
          <w:szCs w:val="22"/>
        </w:rPr>
        <w:t xml:space="preserve"> wyn</w:t>
      </w:r>
      <w:r w:rsidR="00CE06E4">
        <w:rPr>
          <w:rFonts w:cs="Tahoma"/>
          <w:color w:val="000000"/>
          <w:szCs w:val="22"/>
        </w:rPr>
        <w:t>osi</w:t>
      </w:r>
      <w:r>
        <w:rPr>
          <w:rFonts w:cs="Tahoma"/>
          <w:color w:val="000000"/>
          <w:szCs w:val="22"/>
        </w:rPr>
        <w:t xml:space="preserve"> </w:t>
      </w:r>
      <w:r w:rsidR="00946DE5">
        <w:rPr>
          <w:rFonts w:cs="Tahoma"/>
          <w:color w:val="000000"/>
          <w:szCs w:val="22"/>
        </w:rPr>
        <w:t>8 000</w:t>
      </w:r>
      <w:r>
        <w:rPr>
          <w:rFonts w:cs="Tahoma"/>
          <w:color w:val="000000"/>
          <w:szCs w:val="22"/>
        </w:rPr>
        <w:t xml:space="preserve"> litrów, w tym:</w:t>
      </w:r>
    </w:p>
    <w:p w14:paraId="2E99CD37" w14:textId="542DFFAD" w:rsidR="00315079" w:rsidRDefault="00A15E1F">
      <w:pPr>
        <w:pStyle w:val="Styl1"/>
        <w:ind w:left="360"/>
        <w:rPr>
          <w:szCs w:val="22"/>
        </w:rPr>
      </w:pPr>
      <w:r>
        <w:rPr>
          <w:rFonts w:cs="Tahoma"/>
          <w:color w:val="000000"/>
          <w:szCs w:val="22"/>
        </w:rPr>
        <w:t xml:space="preserve">- benzyna bezołowiowa PB 95 </w:t>
      </w:r>
      <w:r w:rsidR="00946DE5">
        <w:rPr>
          <w:rFonts w:cs="Tahoma"/>
          <w:color w:val="000000"/>
          <w:szCs w:val="22"/>
        </w:rPr>
        <w:t>–</w:t>
      </w:r>
      <w:r>
        <w:rPr>
          <w:rFonts w:cs="Tahoma"/>
          <w:color w:val="000000"/>
          <w:szCs w:val="22"/>
        </w:rPr>
        <w:t xml:space="preserve"> </w:t>
      </w:r>
      <w:r w:rsidR="00946DE5">
        <w:rPr>
          <w:rFonts w:cs="Tahoma"/>
          <w:color w:val="000000"/>
          <w:szCs w:val="22"/>
        </w:rPr>
        <w:t>1 000</w:t>
      </w:r>
      <w:r>
        <w:rPr>
          <w:rFonts w:cs="Tahoma"/>
          <w:color w:val="000000"/>
          <w:szCs w:val="22"/>
        </w:rPr>
        <w:t xml:space="preserve"> litrów;</w:t>
      </w:r>
    </w:p>
    <w:p w14:paraId="5D629196" w14:textId="78216229" w:rsidR="00315079" w:rsidRPr="000C4C88" w:rsidRDefault="00A15E1F">
      <w:pPr>
        <w:pStyle w:val="Styl1"/>
        <w:ind w:left="360"/>
        <w:rPr>
          <w:rFonts w:cs="Tahoma"/>
          <w:szCs w:val="22"/>
        </w:rPr>
      </w:pPr>
      <w:r>
        <w:rPr>
          <w:rFonts w:cs="Tahoma"/>
          <w:color w:val="000000"/>
          <w:szCs w:val="22"/>
        </w:rPr>
        <w:t xml:space="preserve">- olej napędowy ON </w:t>
      </w:r>
      <w:r w:rsidR="00946DE5">
        <w:rPr>
          <w:rFonts w:cs="Tahoma"/>
          <w:color w:val="000000"/>
          <w:szCs w:val="22"/>
        </w:rPr>
        <w:t>–</w:t>
      </w:r>
      <w:r>
        <w:rPr>
          <w:rFonts w:cs="Tahoma"/>
          <w:color w:val="000000"/>
          <w:szCs w:val="22"/>
        </w:rPr>
        <w:t xml:space="preserve"> </w:t>
      </w:r>
      <w:r w:rsidR="00946DE5">
        <w:rPr>
          <w:rFonts w:cs="Tahoma"/>
          <w:color w:val="000000"/>
          <w:szCs w:val="22"/>
        </w:rPr>
        <w:t>7 000</w:t>
      </w:r>
      <w:r>
        <w:rPr>
          <w:rFonts w:cs="Tahoma"/>
          <w:color w:val="000000"/>
          <w:szCs w:val="22"/>
        </w:rPr>
        <w:t xml:space="preserve"> litrów</w:t>
      </w:r>
      <w:r w:rsidR="009824F0">
        <w:rPr>
          <w:rFonts w:cs="Tahoma"/>
          <w:color w:val="000000"/>
          <w:szCs w:val="22"/>
        </w:rPr>
        <w:t>,</w:t>
      </w:r>
    </w:p>
    <w:p w14:paraId="1D10A3F6" w14:textId="781E5927" w:rsidR="00734CDC" w:rsidRPr="000C4C88" w:rsidRDefault="00A15E1F">
      <w:pPr>
        <w:pStyle w:val="Styl1"/>
        <w:numPr>
          <w:ilvl w:val="0"/>
          <w:numId w:val="13"/>
        </w:numPr>
        <w:rPr>
          <w:szCs w:val="22"/>
        </w:rPr>
      </w:pPr>
      <w:r w:rsidRPr="000C4C88">
        <w:rPr>
          <w:rFonts w:cs="Tahoma"/>
          <w:szCs w:val="22"/>
        </w:rPr>
        <w:t>Wykonawca zobowiązany jest do wydania</w:t>
      </w:r>
      <w:r w:rsidR="00876EEC" w:rsidRPr="000C4C88">
        <w:rPr>
          <w:rFonts w:cs="Tahoma"/>
          <w:szCs w:val="22"/>
        </w:rPr>
        <w:t xml:space="preserve"> nieodpłatnie</w:t>
      </w:r>
      <w:r w:rsidRPr="000C4C88">
        <w:rPr>
          <w:rFonts w:cs="Tahoma"/>
          <w:szCs w:val="22"/>
        </w:rPr>
        <w:t xml:space="preserve"> kart</w:t>
      </w:r>
      <w:r w:rsidR="00734CDC" w:rsidRPr="000C4C88">
        <w:rPr>
          <w:rFonts w:cs="Tahoma"/>
          <w:szCs w:val="22"/>
        </w:rPr>
        <w:t>y</w:t>
      </w:r>
      <w:r w:rsidR="009824F0" w:rsidRPr="000C4C88">
        <w:rPr>
          <w:rFonts w:cs="Tahoma"/>
          <w:szCs w:val="22"/>
        </w:rPr>
        <w:t xml:space="preserve"> bezgotówko</w:t>
      </w:r>
      <w:r w:rsidR="00876EEC" w:rsidRPr="000C4C88">
        <w:rPr>
          <w:rFonts w:cs="Tahoma"/>
          <w:szCs w:val="22"/>
        </w:rPr>
        <w:t>w</w:t>
      </w:r>
      <w:r w:rsidR="00734CDC" w:rsidRPr="000C4C88">
        <w:rPr>
          <w:rFonts w:cs="Tahoma"/>
          <w:szCs w:val="22"/>
        </w:rPr>
        <w:t>e</w:t>
      </w:r>
      <w:r w:rsidR="009824F0" w:rsidRPr="000C4C88">
        <w:rPr>
          <w:rFonts w:cs="Tahoma"/>
          <w:szCs w:val="22"/>
        </w:rPr>
        <w:t xml:space="preserve"> </w:t>
      </w:r>
      <w:r w:rsidR="00876EEC" w:rsidRPr="000C4C88">
        <w:rPr>
          <w:rFonts w:cs="Tahoma"/>
          <w:szCs w:val="22"/>
        </w:rPr>
        <w:t>paliwowe</w:t>
      </w:r>
      <w:r w:rsidRPr="000C4C88">
        <w:rPr>
          <w:rFonts w:cs="Tahoma"/>
          <w:szCs w:val="22"/>
        </w:rPr>
        <w:t xml:space="preserve"> na każdy ze środków transportu Zamawiającego, które będą aktywne przez cały okres obowiązywania umowy</w:t>
      </w:r>
      <w:r w:rsidR="00876EEC" w:rsidRPr="000C4C88">
        <w:rPr>
          <w:rFonts w:cs="Tahoma"/>
          <w:szCs w:val="22"/>
        </w:rPr>
        <w:t xml:space="preserve"> (wykaz pojazdów</w:t>
      </w:r>
      <w:r w:rsidR="00734CDC" w:rsidRPr="000C4C88">
        <w:rPr>
          <w:rFonts w:cs="Tahoma"/>
          <w:szCs w:val="22"/>
        </w:rPr>
        <w:t xml:space="preserve"> </w:t>
      </w:r>
      <w:r w:rsidR="00876EEC" w:rsidRPr="000C4C88">
        <w:rPr>
          <w:rFonts w:cs="Tahoma"/>
          <w:szCs w:val="22"/>
        </w:rPr>
        <w:t>załącznik</w:t>
      </w:r>
      <w:r w:rsidR="00734CDC" w:rsidRPr="000C4C88">
        <w:rPr>
          <w:rFonts w:cs="Tahoma"/>
          <w:szCs w:val="22"/>
        </w:rPr>
        <w:t xml:space="preserve"> do umowy)</w:t>
      </w:r>
      <w:r w:rsidRPr="000C4C88">
        <w:rPr>
          <w:rFonts w:cs="Tahoma"/>
          <w:szCs w:val="22"/>
        </w:rPr>
        <w:t>.</w:t>
      </w:r>
      <w:r w:rsidR="00876EEC" w:rsidRPr="000C4C88">
        <w:rPr>
          <w:rFonts w:cs="Tahoma"/>
          <w:szCs w:val="22"/>
        </w:rPr>
        <w:t xml:space="preserve"> </w:t>
      </w:r>
    </w:p>
    <w:p w14:paraId="11892D77" w14:textId="77777777" w:rsidR="00734CDC" w:rsidRPr="000C4C88" w:rsidRDefault="00876EEC">
      <w:pPr>
        <w:pStyle w:val="Styl1"/>
        <w:numPr>
          <w:ilvl w:val="0"/>
          <w:numId w:val="13"/>
        </w:numPr>
        <w:rPr>
          <w:szCs w:val="22"/>
        </w:rPr>
      </w:pPr>
      <w:r w:rsidRPr="000C4C88">
        <w:rPr>
          <w:rFonts w:cs="Tahoma"/>
          <w:szCs w:val="22"/>
        </w:rPr>
        <w:t>Na wniosek Zamawiającego, Wykonawca wyda nieodpłatnie identyfikacyjne karty bezgotówkowe paliwowe do nowo zakupionych pojazdów Zamawiającego</w:t>
      </w:r>
      <w:r w:rsidR="00734CDC" w:rsidRPr="000C4C88">
        <w:rPr>
          <w:rFonts w:cs="Tahoma"/>
          <w:szCs w:val="22"/>
        </w:rPr>
        <w:t xml:space="preserve">. </w:t>
      </w:r>
    </w:p>
    <w:p w14:paraId="7E22512A" w14:textId="226ED90B" w:rsidR="00315079" w:rsidRPr="000C4C88" w:rsidRDefault="00734CDC">
      <w:pPr>
        <w:pStyle w:val="Styl1"/>
        <w:numPr>
          <w:ilvl w:val="0"/>
          <w:numId w:val="13"/>
        </w:numPr>
        <w:rPr>
          <w:szCs w:val="22"/>
        </w:rPr>
      </w:pPr>
      <w:r w:rsidRPr="000C4C88">
        <w:rPr>
          <w:rFonts w:cs="Tahoma"/>
          <w:szCs w:val="22"/>
        </w:rPr>
        <w:t xml:space="preserve">W przypadku zgubienia bądź kradzieży karty, Wykonawca po telefonicznym zgłoszeniu tego faktu przez Zamawiającego dokona natychmiastowego zablokowania karty. </w:t>
      </w:r>
    </w:p>
    <w:p w14:paraId="1CFDB463" w14:textId="285EABD8" w:rsidR="00734CDC" w:rsidRPr="00734CDC" w:rsidRDefault="00734CDC" w:rsidP="00734CDC">
      <w:pPr>
        <w:pStyle w:val="Styl1"/>
        <w:numPr>
          <w:ilvl w:val="0"/>
          <w:numId w:val="13"/>
        </w:numPr>
        <w:rPr>
          <w:rFonts w:cs="Tahoma"/>
          <w:bCs/>
          <w:color w:val="FF0000"/>
          <w:szCs w:val="22"/>
        </w:rPr>
      </w:pPr>
      <w:r w:rsidRPr="000C4C88">
        <w:rPr>
          <w:rFonts w:cs="Tahoma"/>
          <w:bCs/>
          <w:szCs w:val="22"/>
        </w:rPr>
        <w:t>W przypadku utraty lub zniszczenia karty paliwowej bezpłatne wydanie nowej nastąpi na wniosek Zamawiającego w terminie 7 dni kalendarzowych od dnia złożenia wniosku</w:t>
      </w:r>
      <w:r w:rsidRPr="00734CDC">
        <w:rPr>
          <w:rFonts w:cs="Tahoma"/>
          <w:bCs/>
          <w:color w:val="FF0000"/>
          <w:szCs w:val="22"/>
        </w:rPr>
        <w:t>.</w:t>
      </w:r>
    </w:p>
    <w:p w14:paraId="0590BB50" w14:textId="1D38566A" w:rsidR="00315079" w:rsidRDefault="00A15E1F">
      <w:pPr>
        <w:pStyle w:val="Styl1"/>
        <w:numPr>
          <w:ilvl w:val="0"/>
          <w:numId w:val="13"/>
        </w:numPr>
        <w:rPr>
          <w:szCs w:val="22"/>
        </w:rPr>
      </w:pPr>
      <w:r>
        <w:rPr>
          <w:rFonts w:cs="Tahoma"/>
          <w:bCs/>
          <w:szCs w:val="22"/>
        </w:rPr>
        <w:t xml:space="preserve">Wykonawca nie ma prawa przeniesienia praw wynikających z umowy na osoby trzecie bez pisemnej zgody Zamawiającego, jak również dopełnienia wymogów </w:t>
      </w:r>
      <w:r>
        <w:rPr>
          <w:rFonts w:cs="Tahoma"/>
          <w:szCs w:val="22"/>
        </w:rPr>
        <w:t>określonych w art. 54 ust. 5 ustawy z dnia 15 kwietnia 2011 r. o działalności leczniczej (Dz.U. z 2023r. poz. 991 t.j. ze zm.). Dokonanie cesji z naruszeniem tej zasady jest z mocy prawa nieważne.</w:t>
      </w:r>
    </w:p>
    <w:p w14:paraId="5925173D" w14:textId="5895FD78" w:rsidR="00315079" w:rsidRPr="00D4321A" w:rsidRDefault="00A15E1F">
      <w:pPr>
        <w:pStyle w:val="Styl1"/>
        <w:numPr>
          <w:ilvl w:val="0"/>
          <w:numId w:val="13"/>
        </w:numPr>
        <w:rPr>
          <w:szCs w:val="22"/>
        </w:rPr>
      </w:pPr>
      <w:r>
        <w:rPr>
          <w:rFonts w:cs="Tahoma"/>
          <w:szCs w:val="22"/>
        </w:rPr>
        <w:t xml:space="preserve">Ustala się następujące okresy rozliczeniowe : od 1 do 15 dnia każdego miesiąca i od 16 do ostatniego dnia każdego miesiąca. Za datę sprzedaży uznaje się ostatni dzień okresu rozliczeniowego. </w:t>
      </w:r>
    </w:p>
    <w:p w14:paraId="4B8C367A" w14:textId="342ED5D9" w:rsidR="00D4321A" w:rsidRDefault="00D4321A" w:rsidP="00D4321A">
      <w:pPr>
        <w:pStyle w:val="Styl1"/>
        <w:numPr>
          <w:ilvl w:val="0"/>
          <w:numId w:val="13"/>
        </w:numPr>
        <w:rPr>
          <w:szCs w:val="22"/>
        </w:rPr>
      </w:pPr>
      <w:r>
        <w:rPr>
          <w:rFonts w:cs="Tahoma"/>
          <w:szCs w:val="22"/>
        </w:rPr>
        <w:lastRenderedPageBreak/>
        <w:t>Faktury wystawiane będą przez Wykonawcę w terminie 7 dni od zakończenia każdego okresu rozliczeniowego określonego w sposób , o którym mowa w ust. 12 i obejmować będą kwotę wynikającą z ilości faktycznie sprzedanego paliwa</w:t>
      </w:r>
      <w:r w:rsidR="009D6C80">
        <w:rPr>
          <w:rFonts w:cs="Tahoma"/>
          <w:szCs w:val="22"/>
        </w:rPr>
        <w:t>, materiałów eksploatacyjnych</w:t>
      </w:r>
      <w:r>
        <w:rPr>
          <w:rFonts w:cs="Tahoma"/>
          <w:szCs w:val="22"/>
        </w:rPr>
        <w:t xml:space="preserve"> za ten okres.</w:t>
      </w:r>
    </w:p>
    <w:p w14:paraId="5EF3D701" w14:textId="3E1A18C0" w:rsidR="00D4321A" w:rsidRPr="00876EEC" w:rsidRDefault="00D4321A" w:rsidP="00876EEC">
      <w:pPr>
        <w:pStyle w:val="Akapitzlist"/>
        <w:numPr>
          <w:ilvl w:val="0"/>
          <w:numId w:val="13"/>
        </w:numPr>
        <w:tabs>
          <w:tab w:val="left" w:pos="2796"/>
        </w:tabs>
        <w:suppressAutoHyphens w:val="0"/>
        <w:jc w:val="both"/>
        <w:textAlignment w:val="baseline"/>
        <w:rPr>
          <w:rFonts w:ascii="Tahoma" w:hAnsi="Tahoma"/>
          <w:sz w:val="22"/>
          <w:szCs w:val="22"/>
        </w:rPr>
      </w:pPr>
      <w:r w:rsidRPr="0021557C">
        <w:rPr>
          <w:rFonts w:ascii="Tahoma" w:hAnsi="Tahoma"/>
          <w:sz w:val="22"/>
          <w:szCs w:val="22"/>
        </w:rPr>
        <w:t xml:space="preserve">Zamawiający zobowiązuje się do zapłaty należności za zrealizowane dostawy w terminie </w:t>
      </w:r>
      <w:r w:rsidRPr="0021557C">
        <w:rPr>
          <w:rFonts w:ascii="Tahoma" w:hAnsi="Tahoma"/>
          <w:sz w:val="22"/>
          <w:szCs w:val="22"/>
          <w:highlight w:val="lightGray"/>
          <w:shd w:val="clear" w:color="auto" w:fill="FFFF00"/>
        </w:rPr>
        <w:t>14</w:t>
      </w:r>
      <w:r w:rsidRPr="0021557C">
        <w:rPr>
          <w:rFonts w:ascii="Tahoma" w:hAnsi="Tahoma"/>
          <w:sz w:val="22"/>
          <w:szCs w:val="22"/>
        </w:rPr>
        <w:t xml:space="preserve"> dni licząc od daty prawidłowo wystawionej faktury VAT, przelewem na konto Wykonawcy wskazane na fakturze.</w:t>
      </w:r>
    </w:p>
    <w:p w14:paraId="666227F9" w14:textId="36F1D4D7" w:rsidR="0021557C" w:rsidRPr="0021557C" w:rsidRDefault="00A15E1F" w:rsidP="00AD67F8">
      <w:pPr>
        <w:pStyle w:val="Akapitzlist"/>
        <w:numPr>
          <w:ilvl w:val="0"/>
          <w:numId w:val="13"/>
        </w:numPr>
        <w:tabs>
          <w:tab w:val="left" w:pos="2796"/>
        </w:tabs>
        <w:suppressAutoHyphens w:val="0"/>
        <w:jc w:val="both"/>
        <w:textAlignment w:val="baseline"/>
        <w:rPr>
          <w:rFonts w:ascii="Tahoma" w:hAnsi="Tahoma"/>
          <w:sz w:val="22"/>
          <w:szCs w:val="22"/>
          <w:lang w:eastAsia="zh-CN"/>
        </w:rPr>
      </w:pPr>
      <w:r w:rsidRPr="0021557C">
        <w:rPr>
          <w:rFonts w:ascii="Tahoma" w:hAnsi="Tahoma"/>
          <w:sz w:val="22"/>
          <w:szCs w:val="22"/>
          <w:lang w:eastAsia="zh-CN"/>
        </w:rPr>
        <w:t>Wykonawca zobowiązany jest do dostarczenia wystawionych faktur VAT na następujący adres:</w:t>
      </w:r>
      <w:r w:rsidRPr="0021557C">
        <w:rPr>
          <w:rFonts w:ascii="Tahoma" w:hAnsi="Tahoma"/>
          <w:sz w:val="22"/>
          <w:szCs w:val="22"/>
          <w:lang w:eastAsia="zh-CN"/>
        </w:rPr>
        <w:br/>
        <w:t>Dzia</w:t>
      </w:r>
      <w:r w:rsidR="00442AF4">
        <w:rPr>
          <w:rFonts w:ascii="Tahoma" w:hAnsi="Tahoma"/>
          <w:sz w:val="22"/>
          <w:szCs w:val="22"/>
          <w:lang w:eastAsia="zh-CN"/>
        </w:rPr>
        <w:t xml:space="preserve">ł Ratownictwa Medycznego </w:t>
      </w:r>
      <w:r w:rsidRPr="0021557C">
        <w:rPr>
          <w:rFonts w:ascii="Tahoma" w:hAnsi="Tahoma"/>
          <w:sz w:val="22"/>
          <w:szCs w:val="22"/>
          <w:lang w:eastAsia="zh-CN"/>
        </w:rPr>
        <w:t xml:space="preserve">WS-SPZOZ w Zgorzelcu ul. Lubańska 11-12, 59-900 Zgorzelec lub e-mail: </w:t>
      </w:r>
      <w:r w:rsidR="0021557C" w:rsidRPr="0021557C">
        <w:rPr>
          <w:rFonts w:ascii="Tahoma" w:hAnsi="Tahoma"/>
          <w:sz w:val="22"/>
          <w:szCs w:val="22"/>
          <w:lang w:eastAsia="zh-CN"/>
        </w:rPr>
        <w:t>sekretariat.sor@spzoz.zgorzelec.pl</w:t>
      </w:r>
      <w:r w:rsidR="0021557C">
        <w:rPr>
          <w:rFonts w:ascii="Tahoma" w:hAnsi="Tahoma"/>
          <w:sz w:val="22"/>
          <w:szCs w:val="22"/>
          <w:lang w:eastAsia="zh-CN"/>
        </w:rPr>
        <w:t>.</w:t>
      </w:r>
    </w:p>
    <w:p w14:paraId="67D02835" w14:textId="77777777" w:rsidR="00315079" w:rsidRDefault="00A15E1F">
      <w:pPr>
        <w:pStyle w:val="Standard"/>
        <w:widowControl/>
        <w:numPr>
          <w:ilvl w:val="0"/>
          <w:numId w:val="13"/>
        </w:numPr>
        <w:suppressAutoHyphens w:val="0"/>
        <w:textAlignment w:val="baseline"/>
        <w:rPr>
          <w:szCs w:val="22"/>
        </w:rPr>
      </w:pPr>
      <w:r>
        <w:rPr>
          <w:szCs w:val="22"/>
        </w:rPr>
        <w:t>Jeżeli złożono ofertę, której wybór, zgodnie z przepisami o podatku od asortymentów i usług, prowadziłby do powstania obowiązku podatkowego zastosowania mechanizmu podzielonej płatności, Wykonawca ma obowiązek dokonywania odpowiednich oznaczeń na fakturze oraz przyjęcia płatności w ramach mechanizmu MPP.</w:t>
      </w:r>
    </w:p>
    <w:p w14:paraId="37A37449" w14:textId="77777777" w:rsidR="00315079" w:rsidRDefault="00A15E1F">
      <w:pPr>
        <w:pStyle w:val="Standard"/>
        <w:widowControl/>
        <w:numPr>
          <w:ilvl w:val="0"/>
          <w:numId w:val="13"/>
        </w:numPr>
        <w:suppressAutoHyphens w:val="0"/>
        <w:textAlignment w:val="baseline"/>
        <w:rPr>
          <w:szCs w:val="22"/>
        </w:rPr>
      </w:pPr>
      <w:r>
        <w:rPr>
          <w:szCs w:val="22"/>
        </w:rPr>
        <w:t>Podany przez Wykonawcę numer rachunku bankowego musi być zgodny z białą listą podatników VAT.</w:t>
      </w:r>
    </w:p>
    <w:p w14:paraId="14B0F81A" w14:textId="77777777" w:rsidR="00315079" w:rsidRDefault="00A15E1F">
      <w:pPr>
        <w:pStyle w:val="Standard"/>
        <w:widowControl/>
        <w:numPr>
          <w:ilvl w:val="0"/>
          <w:numId w:val="13"/>
        </w:numPr>
        <w:suppressAutoHyphens w:val="0"/>
        <w:textAlignment w:val="baseline"/>
        <w:rPr>
          <w:szCs w:val="22"/>
        </w:rPr>
      </w:pPr>
      <w:r>
        <w:rPr>
          <w:szCs w:val="22"/>
        </w:rPr>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 (Podany przez Wykonawcę numer rachunku bankowego musi być ujawniony w wykazie podatników VAT prowadzonym przez Szefa Krajowej Administracji Skarbowej).</w:t>
      </w:r>
    </w:p>
    <w:p w14:paraId="642AC048" w14:textId="77777777" w:rsidR="00315079" w:rsidRDefault="00A15E1F">
      <w:pPr>
        <w:pStyle w:val="Akapitzlist"/>
        <w:numPr>
          <w:ilvl w:val="0"/>
          <w:numId w:val="13"/>
        </w:numPr>
        <w:jc w:val="both"/>
        <w:rPr>
          <w:rFonts w:ascii="Tahoma" w:hAnsi="Tahoma"/>
          <w:sz w:val="22"/>
          <w:szCs w:val="22"/>
        </w:rPr>
      </w:pPr>
      <w:r>
        <w:rPr>
          <w:rFonts w:ascii="Tahoma" w:hAnsi="Tahoma"/>
          <w:sz w:val="22"/>
          <w:szCs w:val="22"/>
        </w:rPr>
        <w:t>O zmianach rachunku bankowego, zmianach osoby przedstawiciela strony i tym podobnych Wykonawca powiadomi pisemnie Zamawiającego. Takie zmiany nie wymagają sporządzenia aneksu do umowy i mogą nastąpić na podstawie pisemnej informacji stron.</w:t>
      </w:r>
    </w:p>
    <w:p w14:paraId="571F64E5" w14:textId="77777777" w:rsidR="00315079" w:rsidRDefault="00A15E1F">
      <w:pPr>
        <w:pStyle w:val="Akapitzlist"/>
        <w:numPr>
          <w:ilvl w:val="0"/>
          <w:numId w:val="13"/>
        </w:numPr>
        <w:jc w:val="both"/>
        <w:rPr>
          <w:rFonts w:ascii="Tahoma" w:hAnsi="Tahoma"/>
          <w:sz w:val="22"/>
          <w:szCs w:val="22"/>
        </w:rPr>
      </w:pPr>
      <w:r>
        <w:rPr>
          <w:rFonts w:ascii="Tahoma" w:hAnsi="Tahoma"/>
          <w:sz w:val="22"/>
          <w:szCs w:val="22"/>
        </w:rPr>
        <w:t>Zmniejszenie wartości przedmiotu umowy nie może przekroczyć 30% wartości umowy brutto.</w:t>
      </w:r>
    </w:p>
    <w:p w14:paraId="6A6E7DC1" w14:textId="2F9A500D" w:rsidR="00315079" w:rsidRDefault="00A15E1F">
      <w:pPr>
        <w:pStyle w:val="Akapitzlist"/>
        <w:numPr>
          <w:ilvl w:val="0"/>
          <w:numId w:val="13"/>
        </w:numPr>
        <w:jc w:val="both"/>
        <w:rPr>
          <w:rFonts w:ascii="Tahoma" w:hAnsi="Tahoma"/>
          <w:sz w:val="22"/>
          <w:szCs w:val="22"/>
        </w:rPr>
      </w:pPr>
      <w:r>
        <w:rPr>
          <w:rFonts w:ascii="Tahoma" w:hAnsi="Tahoma"/>
          <w:sz w:val="22"/>
          <w:szCs w:val="22"/>
        </w:rPr>
        <w:t xml:space="preserve">Za każdorazowe stwierdzenie i zgłoszenie przez Zamawiającego niewykonania lub nienależytego wykonania  umowy, w tym uzasadnionego zastrzeżenia co do jakości paliw, Zamawiający naliczy Wykonawcy karę umowną w wysokości </w:t>
      </w:r>
      <w:r w:rsidR="009824F0" w:rsidRPr="00F877A1">
        <w:rPr>
          <w:rFonts w:ascii="Tahoma" w:hAnsi="Tahoma"/>
          <w:b/>
          <w:bCs/>
          <w:sz w:val="22"/>
          <w:szCs w:val="22"/>
        </w:rPr>
        <w:t>100,00</w:t>
      </w:r>
      <w:r w:rsidRPr="00F877A1">
        <w:rPr>
          <w:rFonts w:ascii="Tahoma" w:hAnsi="Tahoma"/>
          <w:b/>
          <w:bCs/>
          <w:sz w:val="22"/>
          <w:szCs w:val="22"/>
        </w:rPr>
        <w:t xml:space="preserve"> zł</w:t>
      </w:r>
      <w:r w:rsidR="009824F0" w:rsidRPr="00F877A1">
        <w:rPr>
          <w:rFonts w:ascii="Tahoma" w:hAnsi="Tahoma"/>
          <w:b/>
          <w:bCs/>
          <w:sz w:val="22"/>
          <w:szCs w:val="22"/>
        </w:rPr>
        <w:t>.</w:t>
      </w:r>
      <w:r w:rsidRPr="00F877A1">
        <w:rPr>
          <w:rFonts w:ascii="Tahoma" w:hAnsi="Tahoma"/>
          <w:sz w:val="22"/>
          <w:szCs w:val="22"/>
        </w:rPr>
        <w:t xml:space="preserve"> </w:t>
      </w:r>
    </w:p>
    <w:p w14:paraId="2BDB49C7" w14:textId="04ECFA8D" w:rsidR="00315079" w:rsidRDefault="00A15E1F" w:rsidP="007A10C1">
      <w:pPr>
        <w:pStyle w:val="Standard"/>
        <w:widowControl/>
        <w:numPr>
          <w:ilvl w:val="0"/>
          <w:numId w:val="13"/>
        </w:numPr>
        <w:tabs>
          <w:tab w:val="left" w:pos="852"/>
        </w:tabs>
        <w:suppressAutoHyphens w:val="0"/>
        <w:textAlignment w:val="baseline"/>
        <w:rPr>
          <w:szCs w:val="22"/>
        </w:rPr>
      </w:pPr>
      <w:r>
        <w:rPr>
          <w:bCs/>
          <w:szCs w:val="22"/>
        </w:rPr>
        <w:t xml:space="preserve">Całkowita suma kar umownych naliczonych na podstawie umowy nie może przekroczyć  </w:t>
      </w:r>
      <w:r w:rsidRPr="009824F0">
        <w:rPr>
          <w:szCs w:val="22"/>
          <w:highlight w:val="lightGray"/>
          <w:shd w:val="clear" w:color="auto" w:fill="FFFF00"/>
        </w:rPr>
        <w:t>20%</w:t>
      </w:r>
      <w:r w:rsidRPr="009824F0">
        <w:rPr>
          <w:bCs/>
          <w:szCs w:val="22"/>
        </w:rPr>
        <w:t xml:space="preserve"> </w:t>
      </w:r>
      <w:r>
        <w:rPr>
          <w:bCs/>
          <w:szCs w:val="22"/>
        </w:rPr>
        <w:t>wartości łącznego wynagrodzenia brutto określonego w Umowie.</w:t>
      </w:r>
    </w:p>
    <w:p w14:paraId="1BFC7E96" w14:textId="77777777" w:rsidR="00E57F30" w:rsidRDefault="00A15E1F" w:rsidP="007A10C1">
      <w:pPr>
        <w:pStyle w:val="Standard"/>
        <w:widowControl/>
        <w:numPr>
          <w:ilvl w:val="0"/>
          <w:numId w:val="13"/>
        </w:numPr>
        <w:tabs>
          <w:tab w:val="left" w:pos="852"/>
        </w:tabs>
        <w:suppressAutoHyphens w:val="0"/>
        <w:textAlignment w:val="baseline"/>
        <w:rPr>
          <w:bCs/>
          <w:szCs w:val="22"/>
        </w:rPr>
      </w:pPr>
      <w:r>
        <w:rPr>
          <w:bCs/>
          <w:szCs w:val="22"/>
        </w:rPr>
        <w:t>Zamawiający zastrzega sobie prawo do dochodzenia odszkodowania przewyższającego wysokość kar umownych na zasadach ogólnych.</w:t>
      </w:r>
    </w:p>
    <w:p w14:paraId="43AF8971" w14:textId="6BAF17BD" w:rsidR="00457C74" w:rsidRPr="00F877A1" w:rsidRDefault="00457C74" w:rsidP="00457C74">
      <w:pPr>
        <w:pStyle w:val="Standard"/>
        <w:widowControl/>
        <w:numPr>
          <w:ilvl w:val="0"/>
          <w:numId w:val="13"/>
        </w:numPr>
        <w:tabs>
          <w:tab w:val="left" w:pos="852"/>
        </w:tabs>
        <w:suppressAutoHyphens w:val="0"/>
        <w:textAlignment w:val="baseline"/>
        <w:rPr>
          <w:bCs/>
          <w:szCs w:val="22"/>
        </w:rPr>
      </w:pPr>
      <w:r w:rsidRPr="00F877A1">
        <w:rPr>
          <w:bCs/>
          <w:szCs w:val="22"/>
        </w:rPr>
        <w:t>Za odstąpienie lub wypowiedzenie od umowy z winy Strony przeciwnej – obie Strony zastrzegają możliwość żądania kary umownej w wysokości 5% wartości brutto, niniejszej umowy.</w:t>
      </w:r>
    </w:p>
    <w:p w14:paraId="191AA350" w14:textId="0836018A" w:rsidR="00315079" w:rsidRDefault="00A15E1F" w:rsidP="007A10C1">
      <w:pPr>
        <w:pStyle w:val="Standard"/>
        <w:widowControl/>
        <w:numPr>
          <w:ilvl w:val="0"/>
          <w:numId w:val="13"/>
        </w:numPr>
        <w:tabs>
          <w:tab w:val="left" w:pos="852"/>
        </w:tabs>
        <w:suppressAutoHyphens w:val="0"/>
        <w:textAlignment w:val="baseline"/>
        <w:rPr>
          <w:szCs w:val="22"/>
        </w:rPr>
      </w:pPr>
      <w:r>
        <w:rPr>
          <w:bCs/>
          <w:szCs w:val="22"/>
        </w:rPr>
        <w:t xml:space="preserve">Wykonawca gwarantuje wysoką jakość sprzedawanych paliw spełniających wymagania określone w Rozporządzeniu Ministra Gospodarki z dnia 9 października 2015 r. w sprawie wymagań jakościowych dla paliw ciekłych ( </w:t>
      </w:r>
      <w:r>
        <w:rPr>
          <w:bCs/>
          <w:color w:val="333333"/>
          <w:szCs w:val="22"/>
        </w:rPr>
        <w:t>Dz.</w:t>
      </w:r>
      <w:r w:rsidR="00D4321A">
        <w:rPr>
          <w:bCs/>
          <w:color w:val="333333"/>
          <w:szCs w:val="22"/>
        </w:rPr>
        <w:t xml:space="preserve"> </w:t>
      </w:r>
      <w:r>
        <w:rPr>
          <w:bCs/>
          <w:color w:val="333333"/>
          <w:szCs w:val="22"/>
        </w:rPr>
        <w:t>U.</w:t>
      </w:r>
      <w:r w:rsidR="00D4321A">
        <w:rPr>
          <w:bCs/>
          <w:color w:val="333333"/>
          <w:szCs w:val="22"/>
        </w:rPr>
        <w:t xml:space="preserve"> </w:t>
      </w:r>
      <w:r>
        <w:rPr>
          <w:bCs/>
          <w:color w:val="333333"/>
          <w:szCs w:val="22"/>
        </w:rPr>
        <w:t>2023</w:t>
      </w:r>
      <w:r w:rsidR="009A7BE1">
        <w:rPr>
          <w:bCs/>
          <w:color w:val="333333"/>
          <w:szCs w:val="22"/>
        </w:rPr>
        <w:t xml:space="preserve">r. poz. </w:t>
      </w:r>
      <w:r>
        <w:rPr>
          <w:bCs/>
          <w:color w:val="333333"/>
          <w:szCs w:val="22"/>
        </w:rPr>
        <w:t>1314 t.j.) .</w:t>
      </w:r>
    </w:p>
    <w:p w14:paraId="2DF7EEF5" w14:textId="1521BADD" w:rsidR="00315079" w:rsidRPr="00064F23" w:rsidRDefault="00A15E1F" w:rsidP="007A10C1">
      <w:pPr>
        <w:pStyle w:val="Standard"/>
        <w:widowControl/>
        <w:numPr>
          <w:ilvl w:val="0"/>
          <w:numId w:val="13"/>
        </w:numPr>
        <w:tabs>
          <w:tab w:val="left" w:pos="852"/>
        </w:tabs>
        <w:suppressAutoHyphens w:val="0"/>
        <w:textAlignment w:val="baseline"/>
        <w:rPr>
          <w:bCs/>
          <w:szCs w:val="22"/>
        </w:rPr>
      </w:pPr>
      <w:r>
        <w:rPr>
          <w:bCs/>
          <w:szCs w:val="22"/>
        </w:rPr>
        <w:t xml:space="preserve">Wykonawca oświadcza, że stacje paliw spełniają wymogi przewidziane przepisami dla stacji paliw zgodnie z Rozporządzeniem Ministra Klimatu i Środowiska z dnia 24 lipca 2023 r. w sprawie warunków technicznych, jakimi powinny odpowiadać bazy i stacje paliw płynnych, bazy i stacje gazu płynnego, rurociągi przesyłowe dalekosiężne służące do transportu ropy naftowej i produktów naftowych i ich </w:t>
      </w:r>
      <w:r w:rsidRPr="00FB23A4">
        <w:rPr>
          <w:bCs/>
          <w:szCs w:val="22"/>
        </w:rPr>
        <w:t>usytuowanie</w:t>
      </w:r>
      <w:r w:rsidR="00064F23" w:rsidRPr="00FB23A4">
        <w:rPr>
          <w:bCs/>
          <w:szCs w:val="22"/>
        </w:rPr>
        <w:t>, ustawy z dnia 25 sierpnia 2006 r. o systemie monitorowania i kontrolowania jakości paliw (Dz. U. z 2023 r. poz. 846 t.j. ze zm.) oraz posiadać wszelkie wymagane prawem atesty i dopuszczenia do stosowania.</w:t>
      </w:r>
    </w:p>
    <w:p w14:paraId="1B96FE01" w14:textId="77777777" w:rsidR="00315079" w:rsidRPr="007A10C1" w:rsidRDefault="00A15E1F" w:rsidP="007A10C1">
      <w:pPr>
        <w:pStyle w:val="Standard"/>
        <w:widowControl/>
        <w:numPr>
          <w:ilvl w:val="0"/>
          <w:numId w:val="13"/>
        </w:numPr>
        <w:tabs>
          <w:tab w:val="left" w:pos="852"/>
        </w:tabs>
        <w:suppressAutoHyphens w:val="0"/>
        <w:textAlignment w:val="baseline"/>
        <w:rPr>
          <w:szCs w:val="22"/>
        </w:rPr>
      </w:pPr>
      <w:r>
        <w:rPr>
          <w:bCs/>
          <w:szCs w:val="22"/>
        </w:rPr>
        <w:lastRenderedPageBreak/>
        <w:t>Wykonawca zobowiązany będzie do przedstawienia dokumentów i świadectw jakościowych paliw oraz dokumentów odnośnie warunków technicznych stacji paliw na każde żądanie Zamawiającego.</w:t>
      </w:r>
    </w:p>
    <w:p w14:paraId="0A9B2D68" w14:textId="77777777" w:rsidR="00315079" w:rsidRDefault="00A15E1F" w:rsidP="007A10C1">
      <w:pPr>
        <w:pStyle w:val="Standard"/>
        <w:widowControl/>
        <w:numPr>
          <w:ilvl w:val="0"/>
          <w:numId w:val="13"/>
        </w:numPr>
        <w:tabs>
          <w:tab w:val="left" w:pos="852"/>
        </w:tabs>
        <w:suppressAutoHyphens w:val="0"/>
        <w:textAlignment w:val="baseline"/>
        <w:rPr>
          <w:szCs w:val="22"/>
        </w:rPr>
      </w:pPr>
      <w:r>
        <w:rPr>
          <w:szCs w:val="22"/>
          <w:lang w:eastAsia="en-US"/>
        </w:rPr>
        <w:t>Strony umowy zastrzegają sobie prawo do wprowadzenia zmian umowy w formie aneksu, który dla   swej skuteczności wymaga zachowania formy pisemnej.</w:t>
      </w:r>
    </w:p>
    <w:p w14:paraId="7E29955E" w14:textId="77777777" w:rsidR="00315079" w:rsidRDefault="00A15E1F">
      <w:pPr>
        <w:suppressAutoHyphens w:val="0"/>
        <w:ind w:left="284"/>
        <w:jc w:val="both"/>
        <w:rPr>
          <w:rFonts w:ascii="Tahoma" w:hAnsi="Tahoma"/>
          <w:sz w:val="22"/>
          <w:szCs w:val="22"/>
        </w:rPr>
      </w:pPr>
      <w:r>
        <w:rPr>
          <w:rFonts w:ascii="Tahoma" w:hAnsi="Tahoma"/>
          <w:sz w:val="22"/>
          <w:szCs w:val="22"/>
          <w:lang w:eastAsia="en-US"/>
        </w:rPr>
        <w:t xml:space="preserve"> Zmiana może nastąpić w przypadkach określonych poniżej:</w:t>
      </w:r>
    </w:p>
    <w:p w14:paraId="1C5425E5" w14:textId="30EB7F0A" w:rsidR="00315079" w:rsidRDefault="00EE1781" w:rsidP="00EE1781">
      <w:pPr>
        <w:widowControl w:val="0"/>
        <w:tabs>
          <w:tab w:val="left" w:pos="993"/>
        </w:tabs>
        <w:suppressAutoHyphens w:val="0"/>
        <w:ind w:left="567" w:hanging="141"/>
        <w:contextualSpacing/>
        <w:jc w:val="both"/>
        <w:textAlignment w:val="baseline"/>
        <w:rPr>
          <w:rFonts w:ascii="Tahoma" w:hAnsi="Tahoma"/>
          <w:sz w:val="22"/>
          <w:szCs w:val="22"/>
        </w:rPr>
      </w:pPr>
      <w:r>
        <w:rPr>
          <w:rFonts w:ascii="Tahoma" w:hAnsi="Tahoma"/>
          <w:sz w:val="22"/>
          <w:szCs w:val="22"/>
          <w:lang w:eastAsia="en-US"/>
        </w:rPr>
        <w:t>- zmiany danych kontrahenta (nazwy, siedziby, nr ewidencyjnego NIP, REGON, formy  prawnej itd.),</w:t>
      </w:r>
    </w:p>
    <w:p w14:paraId="633E87A6" w14:textId="335CFDC1" w:rsidR="00315079" w:rsidRDefault="00EE1781" w:rsidP="00EE1781">
      <w:pPr>
        <w:widowControl w:val="0"/>
        <w:tabs>
          <w:tab w:val="left" w:pos="993"/>
        </w:tabs>
        <w:suppressAutoHyphens w:val="0"/>
        <w:ind w:firstLine="426"/>
        <w:contextualSpacing/>
        <w:jc w:val="both"/>
        <w:textAlignment w:val="baseline"/>
        <w:rPr>
          <w:rFonts w:ascii="Tahoma" w:hAnsi="Tahoma"/>
          <w:sz w:val="22"/>
          <w:szCs w:val="22"/>
        </w:rPr>
      </w:pPr>
      <w:r>
        <w:rPr>
          <w:rFonts w:ascii="Tahoma" w:hAnsi="Tahoma"/>
          <w:sz w:val="22"/>
          <w:szCs w:val="22"/>
          <w:lang w:eastAsia="en-US"/>
        </w:rPr>
        <w:t>- zmiany miejsca realizacji umowy czy umówionych terminów,</w:t>
      </w:r>
    </w:p>
    <w:p w14:paraId="70E6D3C1" w14:textId="6839F166" w:rsidR="00315079" w:rsidRDefault="00EE1781" w:rsidP="00EE1781">
      <w:pPr>
        <w:widowControl w:val="0"/>
        <w:tabs>
          <w:tab w:val="left" w:pos="993"/>
        </w:tabs>
        <w:suppressAutoHyphens w:val="0"/>
        <w:ind w:left="567" w:hanging="141"/>
        <w:contextualSpacing/>
        <w:jc w:val="both"/>
        <w:textAlignment w:val="baseline"/>
        <w:rPr>
          <w:rFonts w:ascii="Tahoma" w:hAnsi="Tahoma"/>
          <w:sz w:val="22"/>
          <w:szCs w:val="22"/>
        </w:rPr>
      </w:pPr>
      <w:r>
        <w:rPr>
          <w:rFonts w:ascii="Tahoma" w:hAnsi="Tahoma"/>
          <w:sz w:val="22"/>
          <w:szCs w:val="22"/>
          <w:lang w:eastAsia="en-US"/>
        </w:rPr>
        <w:t>- zamiana asortymentu na inny, np. na skutek wycofania starego i wprowadzenie nowego, o takich samych lub lepszych parametrach użytkowych (zgodnie z zapotrzebowaniem Zamawiającego i w cenie przetargowej)</w:t>
      </w:r>
    </w:p>
    <w:p w14:paraId="625674E5" w14:textId="11A17F08" w:rsidR="00315079" w:rsidRDefault="00EE1781" w:rsidP="00EE1781">
      <w:pPr>
        <w:widowControl w:val="0"/>
        <w:tabs>
          <w:tab w:val="left" w:pos="993"/>
        </w:tabs>
        <w:suppressAutoHyphens w:val="0"/>
        <w:ind w:left="567" w:hanging="141"/>
        <w:contextualSpacing/>
        <w:jc w:val="both"/>
        <w:textAlignment w:val="baseline"/>
        <w:rPr>
          <w:rFonts w:ascii="Tahoma" w:hAnsi="Tahoma"/>
          <w:sz w:val="22"/>
          <w:szCs w:val="22"/>
        </w:rPr>
      </w:pPr>
      <w:r>
        <w:rPr>
          <w:rFonts w:ascii="Tahoma" w:hAnsi="Tahoma"/>
          <w:sz w:val="22"/>
          <w:szCs w:val="22"/>
          <w:lang w:eastAsia="pl-PL"/>
        </w:rPr>
        <w:t>- zmiany, niezależnie od ich wartości, nie są istotne w rozumieniu art. 454 ustawy PZP, zaś dopuszczone art. 455 ustawy PZP.</w:t>
      </w:r>
    </w:p>
    <w:p w14:paraId="29CF50AE" w14:textId="576376DA" w:rsidR="00315079" w:rsidRDefault="00EE1781" w:rsidP="00EE1781">
      <w:pPr>
        <w:widowControl w:val="0"/>
        <w:tabs>
          <w:tab w:val="left" w:pos="993"/>
        </w:tabs>
        <w:suppressAutoHyphens w:val="0"/>
        <w:ind w:left="567" w:hanging="141"/>
        <w:contextualSpacing/>
        <w:jc w:val="both"/>
        <w:textAlignment w:val="baseline"/>
        <w:rPr>
          <w:rFonts w:ascii="Tahoma" w:hAnsi="Tahoma"/>
          <w:sz w:val="22"/>
          <w:szCs w:val="22"/>
        </w:rPr>
      </w:pPr>
      <w:r>
        <w:rPr>
          <w:rFonts w:ascii="Tahoma" w:eastAsia="SimSun" w:hAnsi="Tahoma"/>
          <w:kern w:val="2"/>
          <w:sz w:val="22"/>
          <w:szCs w:val="22"/>
          <w:lang w:eastAsia="en-US"/>
        </w:rPr>
        <w:t>- gdy wykonawcę, któremu zamawiający udzielił zamówienia, ma zastąpić nowy wykonawca:</w:t>
      </w:r>
    </w:p>
    <w:p w14:paraId="1156F4BC" w14:textId="51DD3605" w:rsidR="00315079" w:rsidRPr="00EE1781" w:rsidRDefault="00A15E1F" w:rsidP="00EE1781">
      <w:pPr>
        <w:pStyle w:val="Akapitzlist"/>
        <w:widowControl w:val="0"/>
        <w:numPr>
          <w:ilvl w:val="0"/>
          <w:numId w:val="2"/>
        </w:numPr>
        <w:suppressAutoHyphens w:val="0"/>
        <w:ind w:left="993" w:hanging="284"/>
        <w:jc w:val="both"/>
        <w:textAlignment w:val="baseline"/>
        <w:rPr>
          <w:rFonts w:ascii="Tahoma" w:hAnsi="Tahoma"/>
          <w:sz w:val="22"/>
          <w:szCs w:val="22"/>
        </w:rPr>
      </w:pPr>
      <w:r w:rsidRPr="00EE1781">
        <w:rPr>
          <w:rFonts w:ascii="Tahoma" w:hAnsi="Tahoma"/>
          <w:kern w:val="2"/>
          <w:sz w:val="22"/>
          <w:szCs w:val="22"/>
          <w:lang w:eastAsia="en-US"/>
        </w:rPr>
        <w:t>na podstawie postanowień umownych,</w:t>
      </w:r>
    </w:p>
    <w:p w14:paraId="4FF79BC0" w14:textId="77777777" w:rsidR="00315079" w:rsidRDefault="00A15E1F">
      <w:pPr>
        <w:widowControl w:val="0"/>
        <w:numPr>
          <w:ilvl w:val="0"/>
          <w:numId w:val="2"/>
        </w:numPr>
        <w:suppressAutoHyphens w:val="0"/>
        <w:ind w:left="993" w:hanging="284"/>
        <w:jc w:val="both"/>
        <w:textAlignment w:val="baseline"/>
        <w:rPr>
          <w:rFonts w:ascii="Tahoma" w:hAnsi="Tahoma"/>
          <w:sz w:val="22"/>
          <w:szCs w:val="22"/>
        </w:rPr>
      </w:pPr>
      <w:r>
        <w:rPr>
          <w:rFonts w:ascii="Tahoma" w:hAnsi="Tahoma"/>
          <w:kern w:val="2"/>
          <w:sz w:val="22"/>
          <w:szCs w:val="22"/>
          <w:lang w:eastAsia="en-US"/>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691EEB37" w14:textId="5F8A42B2" w:rsidR="00315079" w:rsidRDefault="00EE1781">
      <w:pPr>
        <w:pStyle w:val="Akapitzlist"/>
        <w:ind w:left="709" w:hanging="283"/>
        <w:jc w:val="both"/>
        <w:rPr>
          <w:rFonts w:ascii="Tahoma" w:hAnsi="Tahoma"/>
          <w:sz w:val="22"/>
          <w:szCs w:val="22"/>
        </w:rPr>
      </w:pPr>
      <w:r>
        <w:rPr>
          <w:rFonts w:ascii="Tahoma" w:hAnsi="Tahoma"/>
          <w:sz w:val="22"/>
          <w:szCs w:val="22"/>
        </w:rPr>
        <w:t>- wystąpienie konieczności wprowadzenia zmian spowodowanych następującymi okolicznościami: siła wyższa uniemożliwiająca wykonanie przedmiotu umowy;</w:t>
      </w:r>
    </w:p>
    <w:p w14:paraId="62328E58" w14:textId="4AF4A21E" w:rsidR="00315079" w:rsidRDefault="00EE1781">
      <w:pPr>
        <w:pStyle w:val="Akapitzlist"/>
        <w:ind w:left="709" w:hanging="283"/>
        <w:jc w:val="both"/>
        <w:rPr>
          <w:rFonts w:ascii="Tahoma" w:hAnsi="Tahoma"/>
          <w:sz w:val="22"/>
          <w:szCs w:val="22"/>
        </w:rPr>
      </w:pPr>
      <w:r>
        <w:rPr>
          <w:rFonts w:ascii="Tahoma" w:hAnsi="Tahoma"/>
          <w:sz w:val="22"/>
          <w:szCs w:val="22"/>
        </w:rPr>
        <w: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488BBF5A" w14:textId="37D3FE66" w:rsidR="00315079" w:rsidRPr="00EE1781" w:rsidRDefault="00325ED2" w:rsidP="00EE1781">
      <w:pPr>
        <w:ind w:left="284" w:hanging="284"/>
        <w:jc w:val="both"/>
        <w:rPr>
          <w:rFonts w:ascii="Tahoma" w:hAnsi="Tahoma"/>
          <w:sz w:val="22"/>
          <w:szCs w:val="22"/>
        </w:rPr>
      </w:pPr>
      <w:r>
        <w:rPr>
          <w:rFonts w:ascii="Tahoma" w:hAnsi="Tahoma"/>
          <w:sz w:val="22"/>
          <w:szCs w:val="22"/>
          <w:lang w:eastAsia="en-US"/>
        </w:rPr>
        <w:t>31</w:t>
      </w:r>
      <w:r w:rsidR="00EE1781">
        <w:rPr>
          <w:rFonts w:ascii="Tahoma" w:hAnsi="Tahoma"/>
          <w:sz w:val="22"/>
          <w:szCs w:val="22"/>
          <w:lang w:eastAsia="en-US"/>
        </w:rPr>
        <w:t xml:space="preserve"> </w:t>
      </w:r>
      <w:r w:rsidR="00EE1781" w:rsidRPr="00EE1781">
        <w:rPr>
          <w:rFonts w:ascii="Tahoma" w:hAnsi="Tahoma"/>
          <w:sz w:val="22"/>
          <w:szCs w:val="22"/>
          <w:lang w:eastAsia="en-US"/>
        </w:rPr>
        <w:t>Strony dopuszczają możliwość zmiany czasu obowiązywania umowy poprzez:</w:t>
      </w:r>
    </w:p>
    <w:p w14:paraId="3438C36D" w14:textId="744C8BED" w:rsidR="00315079" w:rsidRDefault="00A15E1F">
      <w:pPr>
        <w:widowControl w:val="0"/>
        <w:suppressAutoHyphens w:val="0"/>
        <w:ind w:left="426"/>
        <w:contextualSpacing/>
        <w:jc w:val="both"/>
        <w:textAlignment w:val="baseline"/>
        <w:rPr>
          <w:rFonts w:ascii="Tahoma" w:hAnsi="Tahoma"/>
          <w:sz w:val="22"/>
          <w:szCs w:val="22"/>
        </w:rPr>
      </w:pPr>
      <w:r>
        <w:rPr>
          <w:rFonts w:ascii="Tahoma" w:hAnsi="Tahoma"/>
          <w:sz w:val="22"/>
          <w:szCs w:val="22"/>
          <w:lang w:eastAsia="en-US"/>
        </w:rPr>
        <w:t xml:space="preserve">1) </w:t>
      </w:r>
      <w:r>
        <w:rPr>
          <w:rFonts w:ascii="Tahoma" w:eastAsia="NSimSun" w:hAnsi="Tahoma"/>
          <w:kern w:val="2"/>
          <w:sz w:val="22"/>
          <w:szCs w:val="22"/>
          <w:lang w:bidi="hi-IN"/>
        </w:rPr>
        <w:t xml:space="preserve">przedłużenie czasu obowiązywania umowy – w przypadku niezrealizowania w czasie trwania umowy szacunkowej wartości umowy brutto, do czasu zrealizowania wartościowego pozostałej części kwoty przeznaczonej do zapłaty za wykonanie przedmiotu umowy, lecz nie dłużej niż na </w:t>
      </w:r>
      <w:r w:rsidRPr="00A258E4">
        <w:rPr>
          <w:rFonts w:ascii="Tahoma" w:hAnsi="Tahoma"/>
          <w:sz w:val="22"/>
          <w:szCs w:val="22"/>
        </w:rPr>
        <w:t>ok</w:t>
      </w:r>
      <w:r w:rsidRPr="00A258E4">
        <w:rPr>
          <w:rFonts w:ascii="Tahoma" w:eastAsia="NSimSun" w:hAnsi="Tahoma"/>
          <w:kern w:val="2"/>
          <w:sz w:val="22"/>
          <w:szCs w:val="22"/>
          <w:lang w:bidi="hi-IN"/>
        </w:rPr>
        <w:t xml:space="preserve">res </w:t>
      </w:r>
      <w:r w:rsidRPr="00A258E4">
        <w:rPr>
          <w:rFonts w:ascii="Tahoma" w:hAnsi="Tahoma"/>
          <w:sz w:val="22"/>
          <w:szCs w:val="22"/>
        </w:rPr>
        <w:t>4</w:t>
      </w:r>
      <w:r w:rsidRPr="00A258E4">
        <w:rPr>
          <w:rFonts w:ascii="Tahoma" w:eastAsia="NSimSun" w:hAnsi="Tahoma"/>
          <w:kern w:val="2"/>
          <w:sz w:val="22"/>
          <w:szCs w:val="22"/>
          <w:lang w:bidi="hi-IN"/>
        </w:rPr>
        <w:t xml:space="preserve"> lat</w:t>
      </w:r>
      <w:r w:rsidR="00A73909" w:rsidRPr="00A258E4">
        <w:rPr>
          <w:rFonts w:ascii="Tahoma" w:eastAsia="NSimSun" w:hAnsi="Tahoma"/>
          <w:kern w:val="2"/>
          <w:sz w:val="22"/>
          <w:szCs w:val="22"/>
          <w:lang w:bidi="hi-IN"/>
        </w:rPr>
        <w:t xml:space="preserve"> </w:t>
      </w:r>
      <w:r>
        <w:rPr>
          <w:rFonts w:ascii="Tahoma" w:eastAsia="NSimSun" w:hAnsi="Tahoma"/>
          <w:kern w:val="2"/>
          <w:sz w:val="22"/>
          <w:szCs w:val="22"/>
          <w:lang w:bidi="hi-IN"/>
        </w:rPr>
        <w:t>od daty zawarcia umowy</w:t>
      </w:r>
      <w:r w:rsidR="003A072D">
        <w:rPr>
          <w:rFonts w:ascii="Tahoma" w:eastAsia="NSimSun" w:hAnsi="Tahoma"/>
          <w:kern w:val="2"/>
          <w:sz w:val="22"/>
          <w:szCs w:val="22"/>
          <w:lang w:bidi="hi-IN"/>
        </w:rPr>
        <w:t>.</w:t>
      </w:r>
    </w:p>
    <w:p w14:paraId="2DDDF802" w14:textId="1B451B95" w:rsidR="00315079" w:rsidRPr="00EE1781" w:rsidRDefault="00A15E1F" w:rsidP="00325ED2">
      <w:pPr>
        <w:pStyle w:val="Akapitzlist"/>
        <w:widowControl w:val="0"/>
        <w:numPr>
          <w:ilvl w:val="0"/>
          <w:numId w:val="26"/>
        </w:numPr>
        <w:tabs>
          <w:tab w:val="left" w:pos="567"/>
        </w:tabs>
        <w:suppressAutoHyphens w:val="0"/>
        <w:jc w:val="both"/>
        <w:textAlignment w:val="baseline"/>
        <w:rPr>
          <w:rFonts w:ascii="Tahoma" w:hAnsi="Tahoma"/>
          <w:sz w:val="22"/>
          <w:szCs w:val="22"/>
        </w:rPr>
      </w:pPr>
      <w:r w:rsidRPr="00EE1781">
        <w:rPr>
          <w:rFonts w:ascii="Tahoma" w:hAnsi="Tahoma"/>
          <w:sz w:val="22"/>
          <w:szCs w:val="22"/>
          <w:lang w:eastAsia="en-US"/>
        </w:rPr>
        <w:t>Strony dopuszczają możliwość zmiany cen w przypadku:</w:t>
      </w:r>
    </w:p>
    <w:p w14:paraId="37803E0B" w14:textId="4ABBDEB4" w:rsidR="00315079" w:rsidRPr="00EE1781" w:rsidRDefault="00A15E1F" w:rsidP="00EE1781">
      <w:pPr>
        <w:pStyle w:val="Akapitzlist"/>
        <w:widowControl w:val="0"/>
        <w:numPr>
          <w:ilvl w:val="0"/>
          <w:numId w:val="24"/>
        </w:numPr>
        <w:tabs>
          <w:tab w:val="left" w:pos="1440"/>
        </w:tabs>
        <w:suppressAutoHyphens w:val="0"/>
        <w:jc w:val="both"/>
        <w:textAlignment w:val="baseline"/>
        <w:rPr>
          <w:rFonts w:ascii="Tahoma" w:hAnsi="Tahoma"/>
          <w:sz w:val="22"/>
          <w:szCs w:val="22"/>
        </w:rPr>
      </w:pPr>
      <w:r w:rsidRPr="00EE1781">
        <w:rPr>
          <w:rFonts w:ascii="Tahoma" w:hAnsi="Tahoma"/>
          <w:sz w:val="22"/>
          <w:szCs w:val="22"/>
          <w:lang w:eastAsia="en-US"/>
        </w:rPr>
        <w:t>zmiany stawki podatku VAT w przypadku ustawowej zmiany wysokości tego podatku – bez konieczności dokonywania zmiany umowy, a nowa stawka będzie stosowana automatycznie od dnia wejścia w życie stosownych przepisów powszechnie obowiązujących – przy czym zmianie ulega cena jednostkowa brutto, przy zachowaniu ceny jednostkowej netto,</w:t>
      </w:r>
    </w:p>
    <w:p w14:paraId="4DD8FEC1" w14:textId="6B236F8F" w:rsidR="00315079" w:rsidRPr="00EE1781" w:rsidRDefault="00A15E1F" w:rsidP="00EE1781">
      <w:pPr>
        <w:pStyle w:val="Akapitzlist"/>
        <w:widowControl w:val="0"/>
        <w:numPr>
          <w:ilvl w:val="0"/>
          <w:numId w:val="24"/>
        </w:numPr>
        <w:tabs>
          <w:tab w:val="left" w:pos="1440"/>
        </w:tabs>
        <w:suppressAutoHyphens w:val="0"/>
        <w:jc w:val="both"/>
        <w:textAlignment w:val="baseline"/>
        <w:rPr>
          <w:rFonts w:ascii="Tahoma" w:hAnsi="Tahoma"/>
          <w:sz w:val="22"/>
          <w:szCs w:val="22"/>
        </w:rPr>
      </w:pPr>
      <w:r w:rsidRPr="00EE1781">
        <w:rPr>
          <w:rFonts w:ascii="Tahoma" w:hAnsi="Tahoma"/>
          <w:sz w:val="22"/>
          <w:szCs w:val="22"/>
          <w:lang w:eastAsia="en-US"/>
        </w:rPr>
        <w:t>zmiany stawki podatku akcyzowego w przypadku ustawowej zmiany wysokości tego podatku – bez konieczności dokonywania zmiany umowy, a nowa stawka będzie stosowana automatycznie od dnia wejścia w życie stosownych przepisów powszechnie obowiązujących – przy czym zmianie ulega cena jednostkowa brutto, przy zachowaniu ceny jednostkowej netto,</w:t>
      </w:r>
    </w:p>
    <w:p w14:paraId="18B210AD" w14:textId="19894CBB" w:rsidR="00315079" w:rsidRPr="00EE1781" w:rsidRDefault="00A15E1F" w:rsidP="00EE1781">
      <w:pPr>
        <w:pStyle w:val="Akapitzlist"/>
        <w:widowControl w:val="0"/>
        <w:numPr>
          <w:ilvl w:val="0"/>
          <w:numId w:val="24"/>
        </w:numPr>
        <w:tabs>
          <w:tab w:val="left" w:pos="1440"/>
        </w:tabs>
        <w:suppressAutoHyphens w:val="0"/>
        <w:jc w:val="both"/>
        <w:textAlignment w:val="baseline"/>
        <w:rPr>
          <w:rFonts w:ascii="Tahoma" w:hAnsi="Tahoma"/>
          <w:sz w:val="22"/>
          <w:szCs w:val="22"/>
        </w:rPr>
      </w:pPr>
      <w:bookmarkStart w:id="0" w:name="_Hlk520104686"/>
      <w:r w:rsidRPr="00EE1781">
        <w:rPr>
          <w:rFonts w:ascii="Tahoma" w:hAnsi="Tahoma"/>
          <w:sz w:val="22"/>
          <w:szCs w:val="22"/>
          <w:lang w:eastAsia="en-US"/>
        </w:rPr>
        <w:t>okresowych obniżek cen przedmiotu zamówienia – bez konieczności dokonywania zmiany umowy. Wykonawca każdorazowo zobowiązany jest do poinformowania Zamawiającego o powyższym drogą pisemną lub e-mailem</w:t>
      </w:r>
      <w:bookmarkEnd w:id="0"/>
      <w:r w:rsidRPr="00EE1781">
        <w:rPr>
          <w:rFonts w:ascii="Tahoma" w:hAnsi="Tahoma"/>
          <w:sz w:val="22"/>
          <w:szCs w:val="22"/>
          <w:lang w:eastAsia="en-US"/>
        </w:rPr>
        <w:t>,</w:t>
      </w:r>
    </w:p>
    <w:p w14:paraId="0236792B" w14:textId="5D1B29BC" w:rsidR="00315079" w:rsidRPr="00EE1781" w:rsidRDefault="00A15E1F" w:rsidP="00EE1781">
      <w:pPr>
        <w:pStyle w:val="Akapitzlist"/>
        <w:widowControl w:val="0"/>
        <w:numPr>
          <w:ilvl w:val="0"/>
          <w:numId w:val="24"/>
        </w:numPr>
        <w:tabs>
          <w:tab w:val="left" w:pos="1440"/>
        </w:tabs>
        <w:suppressAutoHyphens w:val="0"/>
        <w:jc w:val="both"/>
        <w:textAlignment w:val="baseline"/>
        <w:rPr>
          <w:rFonts w:ascii="Tahoma" w:hAnsi="Tahoma"/>
          <w:sz w:val="22"/>
          <w:szCs w:val="22"/>
        </w:rPr>
      </w:pPr>
      <w:r w:rsidRPr="00EE1781">
        <w:rPr>
          <w:rFonts w:ascii="Tahoma" w:hAnsi="Tahoma"/>
          <w:color w:val="000000"/>
          <w:sz w:val="22"/>
          <w:szCs w:val="22"/>
          <w:lang w:eastAsia="en-US"/>
        </w:rPr>
        <w:t xml:space="preserve">zmiana cen w związku z inflacją – tj. zmiana cen o półroczny wskaźnik cen asortymentów i usług konsumpcyjnych, publikowanych przez GUS, nie częściej niż co 6 miesięcy w okresie obowiązywania umowy, w przypadku gdy wskaźnik ten będzie wyższy niż 7%. W takim przypadku ceny ulegną zmianie o wysokość opublikowanego przez GUS półrocznego wskaźnika cen asortymentów i usług konsumpcyjnych w danym półroczu. </w:t>
      </w:r>
      <w:r w:rsidRPr="00EE1781">
        <w:rPr>
          <w:rFonts w:ascii="Tahoma" w:hAnsi="Tahoma"/>
          <w:color w:val="000000"/>
          <w:sz w:val="22"/>
          <w:szCs w:val="22"/>
          <w:lang w:eastAsia="en-US"/>
        </w:rPr>
        <w:lastRenderedPageBreak/>
        <w:t>Wykonawca zobligowany jest do przedłożenia Zamawiającemu uaktualnionego formularza cenowego do akceptacji wraz z wydrukiem obowiązującego i opublikowanego przez GUS wskaźnika inflacji. Po akceptacji proponowanych zmian, sporządzony zostanie Aneks do umowy.</w:t>
      </w:r>
    </w:p>
    <w:p w14:paraId="7ED3228F" w14:textId="4CA72B8C" w:rsidR="00315079" w:rsidRPr="00EE1781" w:rsidRDefault="00A15E1F" w:rsidP="00FB23A4">
      <w:pPr>
        <w:pStyle w:val="Akapitzlist"/>
        <w:widowControl w:val="0"/>
        <w:numPr>
          <w:ilvl w:val="0"/>
          <w:numId w:val="26"/>
        </w:numPr>
        <w:tabs>
          <w:tab w:val="left" w:pos="1440"/>
        </w:tabs>
        <w:suppressAutoHyphens w:val="0"/>
        <w:jc w:val="both"/>
        <w:textAlignment w:val="baseline"/>
        <w:rPr>
          <w:rFonts w:ascii="Tahoma" w:hAnsi="Tahoma"/>
          <w:sz w:val="22"/>
          <w:szCs w:val="22"/>
        </w:rPr>
      </w:pPr>
      <w:r w:rsidRPr="00EE1781">
        <w:rPr>
          <w:rFonts w:ascii="Tahoma" w:hAnsi="Tahoma"/>
          <w:sz w:val="22"/>
          <w:szCs w:val="22"/>
          <w:lang w:eastAsia="pl-PL"/>
        </w:rPr>
        <w:t>Zamawiający przewiduje możliwość zmiany wysokości wynagrodzenia Umowy:</w:t>
      </w:r>
    </w:p>
    <w:p w14:paraId="04E1D425" w14:textId="2362904E" w:rsidR="00315079" w:rsidRPr="00EE1781" w:rsidRDefault="00A15E1F" w:rsidP="00EE1781">
      <w:pPr>
        <w:pStyle w:val="Akapitzlist"/>
        <w:widowControl w:val="0"/>
        <w:numPr>
          <w:ilvl w:val="0"/>
          <w:numId w:val="25"/>
        </w:numPr>
        <w:suppressAutoHyphens w:val="0"/>
        <w:jc w:val="both"/>
        <w:textAlignment w:val="baseline"/>
        <w:rPr>
          <w:rFonts w:ascii="Tahoma" w:hAnsi="Tahoma"/>
          <w:sz w:val="22"/>
          <w:szCs w:val="22"/>
        </w:rPr>
      </w:pPr>
      <w:r w:rsidRPr="00EE1781">
        <w:rPr>
          <w:rFonts w:ascii="Tahoma" w:hAnsi="Tahoma"/>
          <w:sz w:val="22"/>
          <w:szCs w:val="22"/>
          <w:lang w:eastAsia="en-US"/>
        </w:rPr>
        <w:t xml:space="preserve">w przypadku zmiany cen materiałów lub kosztów związanych z realizacją zamówienia - Poziom zmiany ceny materiałów lub kosztów związanych z realizacją przedmiotu zamówienia uprawniający Strony Umowy do żądania zmiany wynagrodzenia ustala się na 7%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Z przedłożonych dokumentów musi jednoznacznie wynikać wzrost lub spadek cen materiałów lub kosztów związanych z realizacją zamówienia w odniesieniu do każdej pozycji asortymentowej przedmiotu zamówienia o więcej niż 7% (tzw. kalkulacja ceny jednostkowej na etapie składania ofert oraz na dany etap zmiany poparta dokumentami powodującymi konieczność wprowadzonych zmian). Zamawiający zastrzega, że może samodzielnie wystąpić z wnioskiem do Wykonawcy o obniżenie ceny według zasad w/w. Po wykazaniu i udowodnieniu w/w zmian, strony dopuszczają możliwość podpisania aneksu do umowy zmieniającego ceny o wysokość procentową wykazanej zmiany. </w:t>
      </w:r>
      <w:r w:rsidRPr="00EE1781">
        <w:rPr>
          <w:rFonts w:ascii="Tahoma" w:hAnsi="Tahoma"/>
          <w:sz w:val="22"/>
          <w:szCs w:val="22"/>
          <w:lang w:eastAsia="pl-PL"/>
        </w:rPr>
        <w:t>Maksymalna wartość w/w zmian nie może przekroczyć 50% wysokości aktualnie obowiązującej wartości brutto umowy;</w:t>
      </w:r>
    </w:p>
    <w:p w14:paraId="66945426" w14:textId="7575415A" w:rsidR="00315079" w:rsidRPr="00EE1781" w:rsidRDefault="00A15E1F" w:rsidP="00EE1781">
      <w:pPr>
        <w:pStyle w:val="Akapitzlist"/>
        <w:widowControl w:val="0"/>
        <w:numPr>
          <w:ilvl w:val="0"/>
          <w:numId w:val="25"/>
        </w:numPr>
        <w:tabs>
          <w:tab w:val="left" w:pos="709"/>
        </w:tabs>
        <w:suppressAutoHyphens w:val="0"/>
        <w:jc w:val="both"/>
        <w:textAlignment w:val="baseline"/>
        <w:rPr>
          <w:rFonts w:ascii="Tahoma" w:hAnsi="Tahoma"/>
          <w:sz w:val="22"/>
          <w:szCs w:val="22"/>
        </w:rPr>
      </w:pPr>
      <w:r w:rsidRPr="00EE1781">
        <w:rPr>
          <w:rFonts w:ascii="Tahoma" w:hAnsi="Tahoma"/>
          <w:sz w:val="22"/>
          <w:szCs w:val="22"/>
          <w:lang w:eastAsia="en-US"/>
        </w:rPr>
        <w:t>Wykonawca, którego wynagrodzenie zostało zmienione zgodnie z pkt. 1), zobowiązany jest do zmiany wynagrodzenia przysługującego podwykonawcy (jeżeli występują), z którym zawarł umowę, w zakresie odpowiadającym zmianom cen materiałów lub kosztów dotyczących zobowiązania podwykonawcy, jeżeli łącznie spełnione są następujące warunki:</w:t>
      </w:r>
    </w:p>
    <w:p w14:paraId="636D254C" w14:textId="6C9AE605" w:rsidR="00315079" w:rsidRPr="00EE1781" w:rsidRDefault="00EE1781" w:rsidP="00EE1781">
      <w:pPr>
        <w:widowControl w:val="0"/>
        <w:tabs>
          <w:tab w:val="left" w:pos="-22331"/>
        </w:tabs>
        <w:suppressAutoHyphens w:val="0"/>
        <w:ind w:left="709"/>
        <w:jc w:val="both"/>
        <w:textAlignment w:val="baseline"/>
        <w:rPr>
          <w:rFonts w:ascii="Tahoma" w:hAnsi="Tahoma"/>
          <w:sz w:val="22"/>
          <w:szCs w:val="22"/>
        </w:rPr>
      </w:pPr>
      <w:r>
        <w:rPr>
          <w:rFonts w:ascii="Tahoma" w:hAnsi="Tahoma"/>
          <w:sz w:val="22"/>
          <w:szCs w:val="22"/>
          <w:lang w:eastAsia="en-US"/>
        </w:rPr>
        <w:t xml:space="preserve">- </w:t>
      </w:r>
      <w:r w:rsidRPr="00EE1781">
        <w:rPr>
          <w:rFonts w:ascii="Tahoma" w:hAnsi="Tahoma"/>
          <w:sz w:val="22"/>
          <w:szCs w:val="22"/>
          <w:lang w:eastAsia="en-US"/>
        </w:rPr>
        <w:t>przedmiotem umowy są roboty budowlane, dostawy lub usługi,</w:t>
      </w:r>
    </w:p>
    <w:p w14:paraId="4D9B30D3" w14:textId="0F790B4B" w:rsidR="00315079" w:rsidRPr="00EE1781" w:rsidRDefault="00EE1781" w:rsidP="00EE1781">
      <w:pPr>
        <w:pStyle w:val="Standard"/>
        <w:widowControl/>
        <w:suppressAutoHyphens w:val="0"/>
        <w:ind w:left="709"/>
        <w:textAlignment w:val="baseline"/>
        <w:rPr>
          <w:szCs w:val="22"/>
        </w:rPr>
      </w:pPr>
      <w:r>
        <w:rPr>
          <w:rFonts w:eastAsia="Times New Roman"/>
          <w:szCs w:val="22"/>
          <w:lang w:eastAsia="en-US"/>
        </w:rPr>
        <w:t>- okres obowiązywania umowy przekracza 6 miesięcy.</w:t>
      </w:r>
    </w:p>
    <w:p w14:paraId="686258C9" w14:textId="2D7A4088" w:rsidR="00315079" w:rsidRDefault="00A15E1F" w:rsidP="00EE1781">
      <w:pPr>
        <w:pStyle w:val="Standard"/>
        <w:widowControl/>
        <w:tabs>
          <w:tab w:val="left" w:pos="-5732"/>
        </w:tabs>
        <w:suppressAutoHyphens w:val="0"/>
        <w:ind w:left="426" w:hanging="426"/>
        <w:textAlignment w:val="baseline"/>
        <w:rPr>
          <w:szCs w:val="22"/>
        </w:rPr>
      </w:pPr>
      <w:r>
        <w:rPr>
          <w:szCs w:val="22"/>
        </w:rPr>
        <w:t>3</w:t>
      </w:r>
      <w:r w:rsidR="00325ED2">
        <w:rPr>
          <w:szCs w:val="22"/>
        </w:rPr>
        <w:t>4</w:t>
      </w:r>
      <w:r>
        <w:rPr>
          <w:szCs w:val="22"/>
        </w:rPr>
        <w:t xml:space="preserve"> Skorzystanie przez strony z prawa odstąpienia – skutkuje rozwiązaniem niniejszej umowy w pełnym zakresie.</w:t>
      </w:r>
      <w:r w:rsidR="00EE1781">
        <w:rPr>
          <w:szCs w:val="22"/>
        </w:rPr>
        <w:t xml:space="preserve"> </w:t>
      </w:r>
      <w:r>
        <w:rPr>
          <w:kern w:val="2"/>
          <w:szCs w:val="22"/>
          <w:lang w:eastAsia="pl-PL"/>
        </w:rPr>
        <w:t>Zamawiający może również odstąpić od umowy jeżeli zachodzi co najmniej jedna z niżej wskazanych okoliczności, w terminie 30 dni od dnia powzięcia wiadomości o tych okolicznościach:</w:t>
      </w:r>
    </w:p>
    <w:p w14:paraId="1FF4F881" w14:textId="77777777" w:rsidR="00315079" w:rsidRDefault="00A15E1F">
      <w:pPr>
        <w:widowControl w:val="0"/>
        <w:numPr>
          <w:ilvl w:val="0"/>
          <w:numId w:val="6"/>
        </w:numPr>
        <w:suppressAutoHyphens w:val="0"/>
        <w:ind w:left="709" w:hanging="283"/>
        <w:jc w:val="both"/>
        <w:textAlignment w:val="baseline"/>
        <w:rPr>
          <w:rFonts w:ascii="Tahoma" w:hAnsi="Tahoma"/>
          <w:sz w:val="22"/>
          <w:szCs w:val="22"/>
        </w:rPr>
      </w:pPr>
      <w:r>
        <w:rPr>
          <w:rFonts w:ascii="Tahoma" w:hAnsi="Tahoma"/>
          <w:kern w:val="2"/>
          <w:sz w:val="22"/>
          <w:szCs w:val="22"/>
          <w:lang w:eastAsia="pl-PL"/>
        </w:rPr>
        <w:t>zmiana umowy została dokonana z naruszeniem art. 454 i art. 455 Ustawy PZP,</w:t>
      </w:r>
    </w:p>
    <w:p w14:paraId="13EE2C68" w14:textId="77777777" w:rsidR="00315079" w:rsidRDefault="00A15E1F">
      <w:pPr>
        <w:widowControl w:val="0"/>
        <w:numPr>
          <w:ilvl w:val="0"/>
          <w:numId w:val="6"/>
        </w:numPr>
        <w:suppressAutoHyphens w:val="0"/>
        <w:ind w:left="709" w:hanging="283"/>
        <w:jc w:val="both"/>
        <w:textAlignment w:val="baseline"/>
        <w:rPr>
          <w:rFonts w:ascii="Tahoma" w:hAnsi="Tahoma"/>
          <w:sz w:val="22"/>
          <w:szCs w:val="22"/>
        </w:rPr>
      </w:pPr>
      <w:r>
        <w:rPr>
          <w:rFonts w:ascii="Tahoma" w:hAnsi="Tahoma"/>
          <w:kern w:val="2"/>
          <w:sz w:val="22"/>
          <w:szCs w:val="22"/>
          <w:lang w:eastAsia="pl-PL"/>
        </w:rPr>
        <w:t>Wykonawca w chwili zawarcia umowy podlegał wykluczeniu z postepowania na podstawie art. 108 ustawy PZP.</w:t>
      </w:r>
    </w:p>
    <w:p w14:paraId="332A4675" w14:textId="77777777" w:rsidR="00315079" w:rsidRDefault="00A15E1F">
      <w:pPr>
        <w:widowControl w:val="0"/>
        <w:numPr>
          <w:ilvl w:val="0"/>
          <w:numId w:val="6"/>
        </w:numPr>
        <w:suppressAutoHyphens w:val="0"/>
        <w:ind w:left="709" w:hanging="283"/>
        <w:jc w:val="both"/>
        <w:textAlignment w:val="baseline"/>
        <w:rPr>
          <w:rFonts w:ascii="Tahoma" w:hAnsi="Tahoma"/>
          <w:sz w:val="22"/>
          <w:szCs w:val="22"/>
        </w:rPr>
      </w:pPr>
      <w:r>
        <w:rPr>
          <w:rFonts w:ascii="Tahoma" w:hAnsi="Tahoma"/>
          <w:kern w:val="2"/>
          <w:sz w:val="22"/>
          <w:szCs w:val="22"/>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r>
        <w:rPr>
          <w:rFonts w:ascii="Tahoma" w:hAnsi="Tahoma"/>
          <w:kern w:val="2"/>
          <w:sz w:val="22"/>
          <w:szCs w:val="22"/>
          <w:lang w:val="en-US" w:eastAsia="pl-PL"/>
        </w:rPr>
        <w:t>.</w:t>
      </w:r>
    </w:p>
    <w:p w14:paraId="77DDC493" w14:textId="19F63F45" w:rsidR="00315079" w:rsidRDefault="00A15E1F" w:rsidP="00EE1781">
      <w:pPr>
        <w:widowControl w:val="0"/>
        <w:suppressAutoHyphens w:val="0"/>
        <w:ind w:left="426" w:hanging="426"/>
        <w:jc w:val="both"/>
        <w:textAlignment w:val="baseline"/>
        <w:rPr>
          <w:rFonts w:ascii="Tahoma" w:hAnsi="Tahoma"/>
          <w:sz w:val="22"/>
          <w:szCs w:val="22"/>
        </w:rPr>
      </w:pPr>
      <w:r>
        <w:rPr>
          <w:rFonts w:ascii="Tahoma" w:hAnsi="Tahoma"/>
          <w:kern w:val="2"/>
          <w:sz w:val="22"/>
          <w:szCs w:val="22"/>
          <w:lang w:val="en-US" w:eastAsia="pl-PL"/>
        </w:rPr>
        <w:t>3</w:t>
      </w:r>
      <w:r w:rsidR="00325ED2">
        <w:rPr>
          <w:rFonts w:ascii="Tahoma" w:hAnsi="Tahoma"/>
          <w:kern w:val="2"/>
          <w:sz w:val="22"/>
          <w:szCs w:val="22"/>
          <w:lang w:val="en-US" w:eastAsia="pl-PL"/>
        </w:rPr>
        <w:t>5</w:t>
      </w:r>
      <w:r w:rsidR="00EE1781">
        <w:rPr>
          <w:rFonts w:ascii="Tahoma" w:hAnsi="Tahoma"/>
          <w:kern w:val="2"/>
          <w:sz w:val="22"/>
          <w:szCs w:val="22"/>
          <w:lang w:val="en-US" w:eastAsia="pl-PL"/>
        </w:rPr>
        <w:t xml:space="preserve"> </w:t>
      </w:r>
      <w:r>
        <w:rPr>
          <w:rFonts w:ascii="Tahoma" w:hAnsi="Tahoma"/>
          <w:sz w:val="22"/>
          <w:szCs w:val="22"/>
        </w:rPr>
        <w:t xml:space="preserve">Do spraw nie ujętych umową mają zastosowanie przepisy Kodeksu Cywilnego oraz ustawy Prawo Zamówień Publicznych. 2016/679 z dnia 27 kwietnia 2016 r. w sprawie ochrony osób fizycznych w związku z przetwarzaniem danych osobowych i w sprawie swobodnego przepływu takich danych oraz uchylenia dyrektywy 95/46/WE, a także ustawą z dnia 10 </w:t>
      </w:r>
      <w:r>
        <w:rPr>
          <w:rFonts w:ascii="Tahoma" w:hAnsi="Tahoma"/>
          <w:sz w:val="22"/>
          <w:szCs w:val="22"/>
        </w:rPr>
        <w:lastRenderedPageBreak/>
        <w:t>maja 2018 r. o ochronie danych osobowych (</w:t>
      </w:r>
      <w:r>
        <w:rPr>
          <w:rFonts w:ascii="Tahoma" w:hAnsi="Tahoma"/>
          <w:color w:val="333333"/>
          <w:sz w:val="22"/>
          <w:szCs w:val="22"/>
        </w:rPr>
        <w:t>Dz.U.2019</w:t>
      </w:r>
      <w:r w:rsidR="00D4321A">
        <w:rPr>
          <w:rFonts w:ascii="Tahoma" w:hAnsi="Tahoma"/>
          <w:color w:val="333333"/>
          <w:sz w:val="22"/>
          <w:szCs w:val="22"/>
        </w:rPr>
        <w:t>r</w:t>
      </w:r>
      <w:r>
        <w:rPr>
          <w:rFonts w:ascii="Tahoma" w:hAnsi="Tahoma"/>
          <w:color w:val="333333"/>
          <w:sz w:val="22"/>
          <w:szCs w:val="22"/>
        </w:rPr>
        <w:t>.</w:t>
      </w:r>
      <w:r w:rsidR="00D4321A">
        <w:rPr>
          <w:rFonts w:ascii="Tahoma" w:hAnsi="Tahoma"/>
          <w:color w:val="333333"/>
          <w:sz w:val="22"/>
          <w:szCs w:val="22"/>
        </w:rPr>
        <w:t xml:space="preserve"> poz. </w:t>
      </w:r>
      <w:r>
        <w:rPr>
          <w:rFonts w:ascii="Tahoma" w:hAnsi="Tahoma"/>
          <w:color w:val="333333"/>
          <w:sz w:val="22"/>
          <w:szCs w:val="22"/>
        </w:rPr>
        <w:t>1781 t.j.).</w:t>
      </w:r>
    </w:p>
    <w:p w14:paraId="11CB45F3" w14:textId="03CEBD47" w:rsidR="00315079" w:rsidRPr="00325ED2" w:rsidRDefault="00A15E1F" w:rsidP="001E544C">
      <w:pPr>
        <w:pStyle w:val="Standard"/>
        <w:widowControl/>
        <w:tabs>
          <w:tab w:val="left" w:pos="852"/>
        </w:tabs>
        <w:suppressAutoHyphens w:val="0"/>
        <w:ind w:left="426" w:hanging="426"/>
        <w:textAlignment w:val="baseline"/>
        <w:rPr>
          <w:bCs/>
          <w:color w:val="FF0000"/>
          <w:szCs w:val="22"/>
        </w:rPr>
      </w:pPr>
      <w:r>
        <w:rPr>
          <w:szCs w:val="22"/>
        </w:rPr>
        <w:t>3</w:t>
      </w:r>
      <w:r w:rsidR="00325ED2">
        <w:rPr>
          <w:szCs w:val="22"/>
        </w:rPr>
        <w:t>6</w:t>
      </w:r>
      <w:r>
        <w:rPr>
          <w:szCs w:val="22"/>
        </w:rPr>
        <w:t xml:space="preserve"> Strony zobowiązują się do przetwarzania danych osobowych zgodnie z przepisami, w tym Rozporządzenia Parlamentu Europejskiego i Rady (UE)</w:t>
      </w:r>
      <w:r w:rsidR="001E544C">
        <w:rPr>
          <w:szCs w:val="22"/>
        </w:rPr>
        <w:t xml:space="preserve">. </w:t>
      </w:r>
    </w:p>
    <w:p w14:paraId="4B04BD5B" w14:textId="310C9E3F" w:rsidR="00315079" w:rsidRPr="00D4321A" w:rsidRDefault="0010118A" w:rsidP="00D4321A">
      <w:pPr>
        <w:pStyle w:val="Standard"/>
        <w:widowControl/>
        <w:ind w:left="284" w:hanging="284"/>
        <w:textAlignment w:val="baseline"/>
        <w:rPr>
          <w:szCs w:val="22"/>
        </w:rPr>
      </w:pPr>
      <w:r>
        <w:rPr>
          <w:szCs w:val="22"/>
        </w:rPr>
        <w:t>3</w:t>
      </w:r>
      <w:r w:rsidR="00325ED2">
        <w:rPr>
          <w:szCs w:val="22"/>
        </w:rPr>
        <w:t>7</w:t>
      </w:r>
      <w:r>
        <w:rPr>
          <w:szCs w:val="22"/>
        </w:rPr>
        <w:t xml:space="preserve"> Do rozstrzygania sporów mogących wynikać na tle stosowania niniejszej umowy będzie właściwy dla Zamawiającego sąd powszechny.</w:t>
      </w:r>
    </w:p>
    <w:p w14:paraId="0FE12381" w14:textId="76D720B9" w:rsidR="00315079" w:rsidRDefault="00A15E1F">
      <w:pPr>
        <w:jc w:val="both"/>
      </w:pPr>
      <w:r>
        <w:rPr>
          <w:rFonts w:ascii="Tahoma" w:hAnsi="Tahoma"/>
          <w:sz w:val="22"/>
          <w:szCs w:val="22"/>
        </w:rPr>
        <w:t>3</w:t>
      </w:r>
      <w:r w:rsidR="00325ED2">
        <w:rPr>
          <w:rFonts w:ascii="Tahoma" w:hAnsi="Tahoma"/>
          <w:sz w:val="22"/>
          <w:szCs w:val="22"/>
        </w:rPr>
        <w:t>8</w:t>
      </w:r>
      <w:r>
        <w:rPr>
          <w:rFonts w:ascii="Tahoma" w:hAnsi="Tahoma"/>
          <w:sz w:val="22"/>
          <w:szCs w:val="22"/>
        </w:rPr>
        <w:t xml:space="preserve"> Powiązania kapitałowe</w:t>
      </w:r>
      <w:r w:rsidR="00D4321A">
        <w:rPr>
          <w:rFonts w:ascii="Tahoma" w:hAnsi="Tahoma"/>
          <w:sz w:val="22"/>
          <w:szCs w:val="22"/>
        </w:rPr>
        <w:t>:</w:t>
      </w:r>
      <w:r>
        <w:rPr>
          <w:rFonts w:ascii="Tahoma" w:hAnsi="Tahoma"/>
          <w:sz w:val="22"/>
          <w:szCs w:val="22"/>
        </w:rPr>
        <w:t xml:space="preserve"> </w:t>
      </w:r>
    </w:p>
    <w:p w14:paraId="4B1BBE5D" w14:textId="77777777" w:rsidR="00315079" w:rsidRDefault="00A15E1F" w:rsidP="001E544C">
      <w:pPr>
        <w:spacing w:before="100"/>
        <w:ind w:left="390" w:hanging="248"/>
        <w:jc w:val="both"/>
        <w:rPr>
          <w:rFonts w:ascii="Tahoma" w:hAnsi="Tahoma"/>
          <w:sz w:val="22"/>
          <w:szCs w:val="22"/>
        </w:rPr>
      </w:pPr>
      <w:r>
        <w:rPr>
          <w:rFonts w:ascii="Tahoma" w:hAnsi="Tahoma"/>
          <w:bCs/>
          <w:sz w:val="22"/>
          <w:szCs w:val="22"/>
        </w:rPr>
        <w:t>1.</w:t>
      </w:r>
      <w:r>
        <w:rPr>
          <w:rFonts w:ascii="Tahoma" w:hAnsi="Tahoma"/>
          <w:bCs/>
          <w:sz w:val="22"/>
          <w:szCs w:val="22"/>
        </w:rPr>
        <w:tab/>
        <w:t>Żaden z udziałów w kapitale zakładowym Wykonawcy nie jest własnością bezpośrednio lub pośrednio, ani nie został na nim ustanowiony zastaw ani użytkowanie na rzecz:</w:t>
      </w:r>
    </w:p>
    <w:p w14:paraId="0262DFF6" w14:textId="77777777" w:rsidR="00315079" w:rsidRDefault="00A15E1F">
      <w:pPr>
        <w:spacing w:before="100"/>
        <w:ind w:left="390"/>
        <w:jc w:val="both"/>
        <w:rPr>
          <w:rFonts w:ascii="Tahoma" w:hAnsi="Tahoma"/>
          <w:sz w:val="22"/>
          <w:szCs w:val="22"/>
        </w:rPr>
      </w:pPr>
      <w:r>
        <w:rPr>
          <w:rFonts w:ascii="Tahoma" w:hAnsi="Tahoma"/>
          <w:bCs/>
          <w:sz w:val="22"/>
          <w:szCs w:val="22"/>
        </w:rPr>
        <w:t>1)</w:t>
      </w:r>
      <w:r>
        <w:rPr>
          <w:rFonts w:ascii="Tahoma" w:hAnsi="Tahoma"/>
          <w:bCs/>
          <w:sz w:val="22"/>
          <w:szCs w:val="22"/>
        </w:rPr>
        <w:tab/>
        <w:t xml:space="preserve"> Podmiotów Sankcjonowanych, ich Podmiotów Powiązanych lub Krewnych,</w:t>
      </w:r>
    </w:p>
    <w:p w14:paraId="2636A29B" w14:textId="77777777" w:rsidR="00315079" w:rsidRDefault="00A15E1F">
      <w:pPr>
        <w:spacing w:before="100"/>
        <w:ind w:left="390"/>
        <w:jc w:val="both"/>
        <w:rPr>
          <w:rFonts w:ascii="Tahoma" w:hAnsi="Tahoma"/>
          <w:sz w:val="22"/>
          <w:szCs w:val="22"/>
        </w:rPr>
      </w:pPr>
      <w:r>
        <w:rPr>
          <w:rFonts w:ascii="Tahoma" w:hAnsi="Tahoma"/>
          <w:bCs/>
          <w:sz w:val="22"/>
          <w:szCs w:val="22"/>
        </w:rPr>
        <w:t>2)</w:t>
      </w:r>
      <w:r>
        <w:rPr>
          <w:rFonts w:ascii="Tahoma" w:hAnsi="Tahoma"/>
          <w:bCs/>
          <w:sz w:val="22"/>
          <w:szCs w:val="22"/>
        </w:rPr>
        <w:tab/>
        <w:t xml:space="preserve"> Władz Rosyjskich,</w:t>
      </w:r>
    </w:p>
    <w:p w14:paraId="1908DDAB" w14:textId="77777777" w:rsidR="00315079" w:rsidRDefault="00A15E1F">
      <w:pPr>
        <w:spacing w:before="100"/>
        <w:ind w:left="390"/>
        <w:jc w:val="both"/>
        <w:rPr>
          <w:rFonts w:ascii="Tahoma" w:hAnsi="Tahoma"/>
          <w:sz w:val="22"/>
          <w:szCs w:val="22"/>
        </w:rPr>
      </w:pPr>
      <w:r>
        <w:rPr>
          <w:rFonts w:ascii="Tahoma" w:hAnsi="Tahoma"/>
          <w:bCs/>
          <w:sz w:val="22"/>
          <w:szCs w:val="22"/>
        </w:rPr>
        <w:t>3)</w:t>
      </w:r>
      <w:r>
        <w:rPr>
          <w:rFonts w:ascii="Tahoma" w:hAnsi="Tahoma"/>
          <w:bCs/>
          <w:sz w:val="22"/>
          <w:szCs w:val="22"/>
        </w:rPr>
        <w:tab/>
        <w:t xml:space="preserve"> Według Najlepszej Wiedzy Strony, jakiekolwiek podmiotu lub osoby, która korzysta z kapitału lub finansowania zapewnionego przez Podmiot Sankcjonowany</w:t>
      </w:r>
    </w:p>
    <w:p w14:paraId="042CACEF" w14:textId="77777777" w:rsidR="00315079" w:rsidRDefault="00A15E1F" w:rsidP="001E544C">
      <w:pPr>
        <w:spacing w:before="100"/>
        <w:ind w:left="390" w:hanging="248"/>
        <w:jc w:val="both"/>
        <w:rPr>
          <w:rFonts w:ascii="Tahoma" w:hAnsi="Tahoma"/>
          <w:sz w:val="22"/>
          <w:szCs w:val="22"/>
        </w:rPr>
      </w:pPr>
      <w:r>
        <w:rPr>
          <w:rFonts w:ascii="Tahoma" w:hAnsi="Tahoma"/>
          <w:bCs/>
          <w:sz w:val="22"/>
          <w:szCs w:val="22"/>
        </w:rPr>
        <w:t>2.</w:t>
      </w:r>
      <w:r>
        <w:rPr>
          <w:rFonts w:ascii="Tahoma" w:hAnsi="Tahoma"/>
          <w:bCs/>
          <w:sz w:val="22"/>
          <w:szCs w:val="22"/>
        </w:rPr>
        <w:tab/>
        <w:t>Żaden z podmiotów wskazanych w Punkcie 1 bezpośrednio lub pośrednio:</w:t>
      </w:r>
    </w:p>
    <w:p w14:paraId="40F30F10" w14:textId="77777777" w:rsidR="00315079" w:rsidRDefault="00A15E1F">
      <w:pPr>
        <w:spacing w:before="100"/>
        <w:ind w:left="390"/>
        <w:jc w:val="both"/>
        <w:rPr>
          <w:rFonts w:ascii="Tahoma" w:hAnsi="Tahoma"/>
          <w:sz w:val="22"/>
          <w:szCs w:val="22"/>
        </w:rPr>
      </w:pPr>
      <w:r>
        <w:rPr>
          <w:rFonts w:ascii="Tahoma" w:hAnsi="Tahoma"/>
          <w:bCs/>
          <w:sz w:val="22"/>
          <w:szCs w:val="22"/>
        </w:rPr>
        <w:t>1)</w:t>
      </w:r>
      <w:r>
        <w:rPr>
          <w:rFonts w:ascii="Tahoma" w:hAnsi="Tahoma"/>
          <w:bCs/>
          <w:sz w:val="22"/>
          <w:szCs w:val="22"/>
        </w:rPr>
        <w:tab/>
        <w:t xml:space="preserve"> nie posiada ani nie kontroluje żadnych praw głosu w organach korporacyjnych Wykonawcy,</w:t>
      </w:r>
    </w:p>
    <w:p w14:paraId="4795A22B" w14:textId="77777777" w:rsidR="00315079" w:rsidRDefault="00A15E1F">
      <w:pPr>
        <w:spacing w:before="100"/>
        <w:ind w:left="390"/>
        <w:jc w:val="both"/>
        <w:rPr>
          <w:rFonts w:ascii="Tahoma" w:hAnsi="Tahoma"/>
          <w:sz w:val="22"/>
          <w:szCs w:val="22"/>
        </w:rPr>
      </w:pPr>
      <w:r>
        <w:rPr>
          <w:rFonts w:ascii="Tahoma" w:hAnsi="Tahoma"/>
          <w:bCs/>
          <w:sz w:val="22"/>
          <w:szCs w:val="22"/>
        </w:rPr>
        <w:t>2)</w:t>
      </w:r>
      <w:r>
        <w:rPr>
          <w:rFonts w:ascii="Tahoma" w:hAnsi="Tahoma"/>
          <w:bCs/>
          <w:sz w:val="22"/>
          <w:szCs w:val="22"/>
        </w:rPr>
        <w:tab/>
        <w:t xml:space="preserve"> nie ma prawa wyboru, ani nie kontroluje wyborów członków organów korporacyjnych Strony,</w:t>
      </w:r>
    </w:p>
    <w:p w14:paraId="527B1ECA" w14:textId="77777777" w:rsidR="00315079" w:rsidRDefault="00A15E1F">
      <w:pPr>
        <w:spacing w:before="100"/>
        <w:ind w:left="390"/>
        <w:jc w:val="both"/>
        <w:rPr>
          <w:rFonts w:ascii="Tahoma" w:hAnsi="Tahoma"/>
          <w:sz w:val="22"/>
          <w:szCs w:val="22"/>
        </w:rPr>
      </w:pPr>
      <w:r>
        <w:rPr>
          <w:rFonts w:ascii="Tahoma" w:hAnsi="Tahoma"/>
          <w:bCs/>
          <w:sz w:val="22"/>
          <w:szCs w:val="22"/>
        </w:rPr>
        <w:t>3)</w:t>
      </w:r>
      <w:r>
        <w:rPr>
          <w:rFonts w:ascii="Tahoma" w:hAnsi="Tahoma"/>
          <w:bCs/>
          <w:sz w:val="22"/>
          <w:szCs w:val="22"/>
        </w:rPr>
        <w:tab/>
        <w:t xml:space="preserve"> 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58591D0C" w14:textId="77777777" w:rsidR="00315079" w:rsidRDefault="00A15E1F">
      <w:pPr>
        <w:spacing w:before="100"/>
        <w:ind w:left="390"/>
        <w:jc w:val="both"/>
        <w:rPr>
          <w:rFonts w:ascii="Tahoma" w:hAnsi="Tahoma"/>
          <w:sz w:val="22"/>
          <w:szCs w:val="22"/>
        </w:rPr>
      </w:pPr>
      <w:r>
        <w:rPr>
          <w:rFonts w:ascii="Tahoma" w:hAnsi="Tahoma"/>
          <w:bCs/>
          <w:sz w:val="22"/>
          <w:szCs w:val="22"/>
        </w:rPr>
        <w:t>4)</w:t>
      </w:r>
      <w:r>
        <w:rPr>
          <w:rFonts w:ascii="Tahoma" w:hAnsi="Tahoma"/>
          <w:bCs/>
          <w:sz w:val="22"/>
          <w:szCs w:val="22"/>
        </w:rPr>
        <w:tab/>
        <w:t>nie zapewnia Wykonawcy żadnego finansowania.</w:t>
      </w:r>
    </w:p>
    <w:p w14:paraId="6DBC4440" w14:textId="77777777" w:rsidR="00315079" w:rsidRDefault="00A15E1F" w:rsidP="001E544C">
      <w:pPr>
        <w:spacing w:before="100"/>
        <w:ind w:left="390" w:hanging="248"/>
        <w:jc w:val="both"/>
        <w:rPr>
          <w:rFonts w:ascii="Tahoma" w:hAnsi="Tahoma"/>
          <w:sz w:val="22"/>
          <w:szCs w:val="22"/>
        </w:rPr>
      </w:pPr>
      <w:r>
        <w:rPr>
          <w:rFonts w:ascii="Tahoma" w:hAnsi="Tahoma"/>
          <w:bCs/>
          <w:sz w:val="22"/>
          <w:szCs w:val="22"/>
        </w:rPr>
        <w:t>3.</w:t>
      </w:r>
      <w:r>
        <w:rPr>
          <w:rFonts w:ascii="Tahoma" w:hAnsi="Tahoma"/>
          <w:bCs/>
          <w:sz w:val="22"/>
          <w:szCs w:val="22"/>
        </w:rPr>
        <w:tab/>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6A9344DB" w14:textId="77777777" w:rsidR="00315079" w:rsidRDefault="00A15E1F" w:rsidP="001E544C">
      <w:pPr>
        <w:spacing w:before="100"/>
        <w:ind w:left="390" w:hanging="248"/>
        <w:jc w:val="both"/>
        <w:rPr>
          <w:rFonts w:ascii="Tahoma" w:hAnsi="Tahoma"/>
          <w:sz w:val="22"/>
          <w:szCs w:val="22"/>
        </w:rPr>
      </w:pPr>
      <w:r>
        <w:rPr>
          <w:rFonts w:ascii="Tahoma" w:hAnsi="Tahoma"/>
          <w:bCs/>
          <w:sz w:val="22"/>
          <w:szCs w:val="22"/>
        </w:rPr>
        <w:t>4.</w:t>
      </w:r>
      <w:r>
        <w:rPr>
          <w:rFonts w:ascii="Tahoma" w:hAnsi="Tahoma"/>
          <w:bCs/>
          <w:sz w:val="22"/>
          <w:szCs w:val="22"/>
        </w:rPr>
        <w:tab/>
        <w:t>Wykonawca, jej podmioty powiązane i krewni nie uchylają się od jakichkolwiek sankcji, nie naruszają przepisów nakładających sankcje ani nie ułatwiają innym podmiotom uchylania się od sankcji.</w:t>
      </w:r>
    </w:p>
    <w:p w14:paraId="2EC57E45" w14:textId="77777777" w:rsidR="00315079" w:rsidRDefault="00A15E1F" w:rsidP="001E544C">
      <w:pPr>
        <w:spacing w:before="100"/>
        <w:ind w:left="390" w:hanging="248"/>
        <w:jc w:val="both"/>
        <w:rPr>
          <w:rFonts w:ascii="Tahoma" w:hAnsi="Tahoma"/>
          <w:sz w:val="22"/>
          <w:szCs w:val="22"/>
        </w:rPr>
      </w:pPr>
      <w:r>
        <w:rPr>
          <w:rFonts w:ascii="Tahoma" w:hAnsi="Tahoma"/>
          <w:bCs/>
          <w:sz w:val="22"/>
          <w:szCs w:val="22"/>
        </w:rPr>
        <w:t>5.</w:t>
      </w:r>
      <w:r>
        <w:rPr>
          <w:rFonts w:ascii="Tahoma" w:hAnsi="Tahoma"/>
          <w:bCs/>
          <w:sz w:val="22"/>
          <w:szCs w:val="22"/>
        </w:rPr>
        <w:tab/>
        <w:t>Wykonawca przestrzega wszelkich obowiązujących praw i przepisów dotyczących  Sankcji.</w:t>
      </w:r>
    </w:p>
    <w:p w14:paraId="6989E871" w14:textId="77777777" w:rsidR="00315079" w:rsidRDefault="00A15E1F" w:rsidP="001E544C">
      <w:pPr>
        <w:spacing w:before="100"/>
        <w:ind w:left="390" w:hanging="248"/>
        <w:jc w:val="both"/>
        <w:rPr>
          <w:rFonts w:ascii="Tahoma" w:hAnsi="Tahoma"/>
          <w:sz w:val="22"/>
          <w:szCs w:val="22"/>
        </w:rPr>
      </w:pPr>
      <w:r>
        <w:rPr>
          <w:rFonts w:ascii="Tahoma" w:hAnsi="Tahoma"/>
          <w:bCs/>
          <w:sz w:val="22"/>
          <w:szCs w:val="22"/>
        </w:rPr>
        <w:t>6.</w:t>
      </w:r>
      <w:r>
        <w:rPr>
          <w:rFonts w:ascii="Tahoma" w:hAnsi="Tahoma"/>
          <w:bCs/>
          <w:sz w:val="22"/>
          <w:szCs w:val="22"/>
        </w:rPr>
        <w:tab/>
        <w:t>Wykonawca ani jej podmioty powiązane nie prowadzą żadnej działalności sankcjonowanej.</w:t>
      </w:r>
    </w:p>
    <w:p w14:paraId="6AA72CE9" w14:textId="77777777" w:rsidR="00315079" w:rsidRDefault="00A15E1F" w:rsidP="001E544C">
      <w:pPr>
        <w:spacing w:before="100"/>
        <w:ind w:left="390" w:hanging="248"/>
        <w:jc w:val="both"/>
        <w:rPr>
          <w:rFonts w:ascii="Tahoma" w:hAnsi="Tahoma"/>
          <w:sz w:val="22"/>
          <w:szCs w:val="22"/>
        </w:rPr>
      </w:pPr>
      <w:r>
        <w:rPr>
          <w:rFonts w:ascii="Tahoma" w:hAnsi="Tahoma"/>
          <w:bCs/>
          <w:sz w:val="22"/>
          <w:szCs w:val="22"/>
        </w:rPr>
        <w:t>7.</w:t>
      </w:r>
      <w:r>
        <w:rPr>
          <w:rFonts w:ascii="Tahoma" w:hAnsi="Tahoma"/>
          <w:bCs/>
          <w:sz w:val="22"/>
          <w:szCs w:val="22"/>
        </w:rPr>
        <w:tab/>
        <w:t>Wykonawca nie jest stroną żadnej umowy, nie składa żadnych zamówień, ani nie nabywa żadnych usług od:</w:t>
      </w:r>
    </w:p>
    <w:p w14:paraId="2A72DC22" w14:textId="77777777" w:rsidR="00315079" w:rsidRDefault="00A15E1F">
      <w:pPr>
        <w:spacing w:before="100"/>
        <w:ind w:left="390"/>
        <w:jc w:val="both"/>
        <w:rPr>
          <w:rFonts w:ascii="Tahoma" w:hAnsi="Tahoma"/>
          <w:sz w:val="22"/>
          <w:szCs w:val="22"/>
        </w:rPr>
      </w:pPr>
      <w:r>
        <w:rPr>
          <w:rFonts w:ascii="Tahoma" w:hAnsi="Tahoma"/>
          <w:bCs/>
          <w:sz w:val="22"/>
          <w:szCs w:val="22"/>
        </w:rPr>
        <w:t>1)</w:t>
      </w:r>
      <w:r>
        <w:rPr>
          <w:rFonts w:ascii="Tahoma" w:hAnsi="Tahoma"/>
          <w:bCs/>
          <w:sz w:val="22"/>
          <w:szCs w:val="22"/>
        </w:rPr>
        <w:tab/>
        <w:t xml:space="preserve"> podmiotów sankcjonowanych, ich podmiotów powiązanych, lub według najlepszej wiedzy Wykonawcy krewnych podmiotów sankcjonowanych,</w:t>
      </w:r>
    </w:p>
    <w:p w14:paraId="1373D700" w14:textId="77777777" w:rsidR="00315079" w:rsidRDefault="00A15E1F">
      <w:pPr>
        <w:spacing w:before="100"/>
        <w:ind w:left="390"/>
        <w:jc w:val="both"/>
        <w:rPr>
          <w:rFonts w:ascii="Tahoma" w:hAnsi="Tahoma"/>
          <w:sz w:val="22"/>
          <w:szCs w:val="22"/>
        </w:rPr>
      </w:pPr>
      <w:r>
        <w:rPr>
          <w:rFonts w:ascii="Tahoma" w:hAnsi="Tahoma"/>
          <w:bCs/>
          <w:sz w:val="22"/>
          <w:szCs w:val="22"/>
        </w:rPr>
        <w:t>2)</w:t>
      </w:r>
      <w:r>
        <w:rPr>
          <w:rFonts w:ascii="Tahoma" w:hAnsi="Tahoma"/>
          <w:bCs/>
          <w:sz w:val="22"/>
          <w:szCs w:val="22"/>
        </w:rPr>
        <w:tab/>
        <w:t xml:space="preserve"> władz Rosyjskich,</w:t>
      </w:r>
    </w:p>
    <w:p w14:paraId="5E0BDBE3" w14:textId="77777777" w:rsidR="00315079" w:rsidRDefault="00A15E1F">
      <w:pPr>
        <w:spacing w:before="100"/>
        <w:ind w:left="390"/>
        <w:jc w:val="both"/>
        <w:rPr>
          <w:rFonts w:ascii="Tahoma" w:hAnsi="Tahoma"/>
          <w:sz w:val="22"/>
          <w:szCs w:val="22"/>
        </w:rPr>
      </w:pPr>
      <w:r>
        <w:rPr>
          <w:rFonts w:ascii="Tahoma" w:hAnsi="Tahoma"/>
          <w:bCs/>
          <w:sz w:val="22"/>
          <w:szCs w:val="22"/>
        </w:rPr>
        <w:t>3)</w:t>
      </w:r>
      <w:r>
        <w:rPr>
          <w:rFonts w:ascii="Tahoma" w:hAnsi="Tahoma"/>
          <w:bCs/>
          <w:sz w:val="22"/>
          <w:szCs w:val="22"/>
        </w:rPr>
        <w:tab/>
        <w:t xml:space="preserve"> żadnego podmiotu ani osoby, która korzysta z kapitału dostarczonego przez jakikolwiek podmiot sankcjonowany lub władze Rosyjskie</w:t>
      </w:r>
    </w:p>
    <w:p w14:paraId="07FF78D9" w14:textId="77777777" w:rsidR="00315079" w:rsidRDefault="00A15E1F" w:rsidP="001E544C">
      <w:pPr>
        <w:spacing w:before="100"/>
        <w:ind w:left="390" w:hanging="248"/>
        <w:jc w:val="both"/>
        <w:rPr>
          <w:rFonts w:ascii="Tahoma" w:hAnsi="Tahoma"/>
          <w:sz w:val="22"/>
          <w:szCs w:val="22"/>
        </w:rPr>
      </w:pPr>
      <w:r>
        <w:rPr>
          <w:rFonts w:ascii="Tahoma" w:hAnsi="Tahoma"/>
          <w:bCs/>
          <w:sz w:val="22"/>
          <w:szCs w:val="22"/>
        </w:rPr>
        <w:t>8.</w:t>
      </w:r>
      <w:r>
        <w:rPr>
          <w:rFonts w:ascii="Tahoma" w:hAnsi="Tahoma"/>
          <w:bCs/>
          <w:sz w:val="22"/>
          <w:szCs w:val="22"/>
        </w:rPr>
        <w:tab/>
        <w:t>Wykonawca nie jest stroną żadnej umowy, na podstawie której podmioty wskazane w punktach 7.1-7.3 mogą odnosić jakąkolwiek korzyść lub są w jakikolwiek sposób zaangażowane.</w:t>
      </w:r>
    </w:p>
    <w:p w14:paraId="3F356C7A" w14:textId="7C29BD59" w:rsidR="004327B6" w:rsidRPr="003A072D" w:rsidRDefault="00A15E1F" w:rsidP="003A072D">
      <w:pPr>
        <w:spacing w:before="100"/>
        <w:ind w:left="390" w:hanging="248"/>
        <w:jc w:val="both"/>
        <w:rPr>
          <w:rFonts w:ascii="Tahoma" w:hAnsi="Tahoma"/>
          <w:bCs/>
          <w:sz w:val="22"/>
          <w:szCs w:val="22"/>
        </w:rPr>
      </w:pPr>
      <w:r>
        <w:rPr>
          <w:rFonts w:ascii="Tahoma" w:hAnsi="Tahoma"/>
          <w:bCs/>
          <w:sz w:val="22"/>
          <w:szCs w:val="22"/>
        </w:rPr>
        <w:t>9.</w:t>
      </w:r>
      <w:r>
        <w:rPr>
          <w:rFonts w:ascii="Tahoma" w:hAnsi="Tahoma"/>
          <w:bCs/>
          <w:sz w:val="22"/>
          <w:szCs w:val="22"/>
        </w:rPr>
        <w:tab/>
        <w:t>Wykonawca nie angażuje się w żadne projekty biznesowe i relacje z podmiotami sankcjonowanymi.</w:t>
      </w:r>
    </w:p>
    <w:sectPr w:rsidR="004327B6" w:rsidRPr="003A072D">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D42"/>
    <w:multiLevelType w:val="multilevel"/>
    <w:tmpl w:val="9F3A1A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630B3"/>
    <w:multiLevelType w:val="multilevel"/>
    <w:tmpl w:val="0B168FEA"/>
    <w:lvl w:ilvl="0">
      <w:start w:val="2"/>
      <w:numFmt w:val="decimal"/>
      <w:lvlText w:val="%1."/>
      <w:lvlJc w:val="left"/>
      <w:pPr>
        <w:ind w:left="360" w:hanging="360"/>
      </w:pPr>
      <w:rPr>
        <w:rFonts w:ascii="Tahoma" w:eastAsia="Times New Roman" w:hAnsi="Tahoma" w:cs="Tahoma"/>
        <w:sz w:val="18"/>
        <w:szCs w:val="18"/>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DD57E7"/>
    <w:multiLevelType w:val="multilevel"/>
    <w:tmpl w:val="E890631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F1D7F6F"/>
    <w:multiLevelType w:val="multilevel"/>
    <w:tmpl w:val="4E1CE4C0"/>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2.%3"/>
      <w:lvlJc w:val="left"/>
      <w:pPr>
        <w:tabs>
          <w:tab w:val="num" w:pos="0"/>
        </w:tabs>
        <w:ind w:left="1980" w:hanging="360"/>
      </w:pPr>
      <w:rPr>
        <w:rFonts w:ascii="Tahoma" w:eastAsia="Times New Roman" w:hAnsi="Tahoma" w:cs="Tahoma"/>
      </w:rPr>
    </w:lvl>
    <w:lvl w:ilvl="3">
      <w:start w:val="1"/>
      <w:numFmt w:val="decimal"/>
      <w:lvlText w:val="%3.%4"/>
      <w:lvlJc w:val="left"/>
      <w:pPr>
        <w:tabs>
          <w:tab w:val="num" w:pos="0"/>
        </w:tabs>
        <w:ind w:left="2520" w:hanging="360"/>
      </w:pPr>
      <w:rPr>
        <w:rFonts w:ascii="Tahoma" w:eastAsia="Times New Roman" w:hAnsi="Tahoma" w:cs="Tahoma"/>
        <w:sz w:val="18"/>
        <w:szCs w:val="18"/>
      </w:rPr>
    </w:lvl>
    <w:lvl w:ilvl="4">
      <w:start w:val="1"/>
      <w:numFmt w:val="decimal"/>
      <w:lvlText w:val="%4.%5"/>
      <w:lvlJc w:val="left"/>
      <w:pPr>
        <w:tabs>
          <w:tab w:val="num" w:pos="0"/>
        </w:tabs>
        <w:ind w:left="3240" w:hanging="360"/>
      </w:pPr>
      <w:rPr>
        <w:rFonts w:ascii="Symbol" w:eastAsia="Times New Roman" w:hAnsi="Symbol" w:cs="Times New Roman"/>
      </w:r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4" w15:restartNumberingAfterBreak="0">
    <w:nsid w:val="13426DA7"/>
    <w:multiLevelType w:val="hybridMultilevel"/>
    <w:tmpl w:val="165ADC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136CD"/>
    <w:multiLevelType w:val="multilevel"/>
    <w:tmpl w:val="3578C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485B1F"/>
    <w:multiLevelType w:val="multilevel"/>
    <w:tmpl w:val="D8A4C382"/>
    <w:styleLink w:val="WWNum8"/>
    <w:lvl w:ilvl="0">
      <w:start w:val="1"/>
      <w:numFmt w:val="decimal"/>
      <w:lvlText w:val="%1."/>
      <w:lvlJc w:val="left"/>
      <w:pPr>
        <w:ind w:left="720" w:hanging="360"/>
      </w:pPr>
      <w:rPr>
        <w:rFonts w:ascii="Tahoma" w:hAnsi="Tahoma" w:cs="Tahoma"/>
        <w:b w:val="0"/>
        <w:bCs/>
        <w:sz w:val="18"/>
        <w:szCs w:val="18"/>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B775556"/>
    <w:multiLevelType w:val="multilevel"/>
    <w:tmpl w:val="2DBE56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15C0804"/>
    <w:multiLevelType w:val="multilevel"/>
    <w:tmpl w:val="C96A6480"/>
    <w:lvl w:ilvl="0">
      <w:start w:val="32"/>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3.%4"/>
      <w:lvlJc w:val="left"/>
      <w:pPr>
        <w:tabs>
          <w:tab w:val="num" w:pos="1800"/>
        </w:tabs>
        <w:ind w:left="1800" w:hanging="360"/>
      </w:pPr>
      <w:rPr>
        <w:rFonts w:hint="default"/>
      </w:rPr>
    </w:lvl>
    <w:lvl w:ilvl="4">
      <w:start w:val="1"/>
      <w:numFmt w:val="decimal"/>
      <w:lvlText w:val="%4.%5"/>
      <w:lvlJc w:val="left"/>
      <w:pPr>
        <w:tabs>
          <w:tab w:val="num" w:pos="2160"/>
        </w:tabs>
        <w:ind w:left="2160" w:hanging="360"/>
      </w:pPr>
      <w:rPr>
        <w:rFonts w:hint="default"/>
      </w:rPr>
    </w:lvl>
    <w:lvl w:ilvl="5">
      <w:start w:val="1"/>
      <w:numFmt w:val="decimal"/>
      <w:lvlText w:val="%5.%6"/>
      <w:lvlJc w:val="left"/>
      <w:pPr>
        <w:tabs>
          <w:tab w:val="num" w:pos="2520"/>
        </w:tabs>
        <w:ind w:left="2520" w:hanging="360"/>
      </w:pPr>
      <w:rPr>
        <w:rFonts w:hint="default"/>
      </w:rPr>
    </w:lvl>
    <w:lvl w:ilvl="6">
      <w:start w:val="1"/>
      <w:numFmt w:val="decimal"/>
      <w:lvlText w:val="%6.%7"/>
      <w:lvlJc w:val="left"/>
      <w:pPr>
        <w:tabs>
          <w:tab w:val="num" w:pos="2880"/>
        </w:tabs>
        <w:ind w:left="2880" w:hanging="360"/>
      </w:pPr>
      <w:rPr>
        <w:rFonts w:hint="default"/>
      </w:rPr>
    </w:lvl>
    <w:lvl w:ilvl="7">
      <w:start w:val="1"/>
      <w:numFmt w:val="decimal"/>
      <w:lvlText w:val="%7.%8"/>
      <w:lvlJc w:val="left"/>
      <w:pPr>
        <w:tabs>
          <w:tab w:val="num" w:pos="3240"/>
        </w:tabs>
        <w:ind w:left="3240" w:hanging="360"/>
      </w:pPr>
      <w:rPr>
        <w:rFonts w:hint="default"/>
      </w:rPr>
    </w:lvl>
    <w:lvl w:ilvl="8">
      <w:start w:val="1"/>
      <w:numFmt w:val="decimal"/>
      <w:lvlText w:val="%8.%9"/>
      <w:lvlJc w:val="left"/>
      <w:pPr>
        <w:tabs>
          <w:tab w:val="num" w:pos="3600"/>
        </w:tabs>
        <w:ind w:left="3600" w:hanging="360"/>
      </w:pPr>
      <w:rPr>
        <w:rFonts w:hint="default"/>
      </w:rPr>
    </w:lvl>
  </w:abstractNum>
  <w:abstractNum w:abstractNumId="9" w15:restartNumberingAfterBreak="0">
    <w:nsid w:val="25E45EFB"/>
    <w:multiLevelType w:val="multilevel"/>
    <w:tmpl w:val="28EC3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8338FA"/>
    <w:multiLevelType w:val="multilevel"/>
    <w:tmpl w:val="1EF4DFB6"/>
    <w:lvl w:ilvl="0">
      <w:numFmt w:val="bullet"/>
      <w:lvlText w:val="-"/>
      <w:lvlJc w:val="left"/>
      <w:pPr>
        <w:ind w:left="360" w:hanging="360"/>
      </w:pPr>
      <w:rPr>
        <w:rFonts w:ascii="Calibri" w:hAnsi="Calibri" w:cs="Tahoma"/>
        <w:sz w:val="18"/>
        <w:szCs w:val="18"/>
        <w:lang w:eastAsia="pl-P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27743865"/>
    <w:multiLevelType w:val="hybridMultilevel"/>
    <w:tmpl w:val="4F9463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5F3324"/>
    <w:multiLevelType w:val="multilevel"/>
    <w:tmpl w:val="63703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AF29C4"/>
    <w:multiLevelType w:val="multilevel"/>
    <w:tmpl w:val="0AC2393E"/>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4" w15:restartNumberingAfterBreak="0">
    <w:nsid w:val="3DE77875"/>
    <w:multiLevelType w:val="multilevel"/>
    <w:tmpl w:val="CFA2281E"/>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2.%3"/>
      <w:lvlJc w:val="left"/>
      <w:pPr>
        <w:tabs>
          <w:tab w:val="num" w:pos="0"/>
        </w:tabs>
        <w:ind w:left="1980" w:hanging="360"/>
      </w:pPr>
      <w:rPr>
        <w:rFonts w:ascii="Tahoma" w:eastAsia="Times New Roman" w:hAnsi="Tahoma" w:cs="Tahoma"/>
      </w:rPr>
    </w:lvl>
    <w:lvl w:ilvl="3">
      <w:start w:val="1"/>
      <w:numFmt w:val="decimal"/>
      <w:lvlText w:val="%3.%4"/>
      <w:lvlJc w:val="left"/>
      <w:pPr>
        <w:tabs>
          <w:tab w:val="num" w:pos="0"/>
        </w:tabs>
        <w:ind w:left="2520" w:hanging="360"/>
      </w:pPr>
      <w:rPr>
        <w:rFonts w:ascii="Tahoma" w:eastAsia="Times New Roman" w:hAnsi="Tahoma" w:cs="Tahoma"/>
        <w:sz w:val="18"/>
        <w:szCs w:val="18"/>
      </w:rPr>
    </w:lvl>
    <w:lvl w:ilvl="4">
      <w:start w:val="1"/>
      <w:numFmt w:val="decimal"/>
      <w:lvlText w:val="%4.%5"/>
      <w:lvlJc w:val="left"/>
      <w:pPr>
        <w:tabs>
          <w:tab w:val="num" w:pos="0"/>
        </w:tabs>
        <w:ind w:left="3240" w:hanging="360"/>
      </w:pPr>
      <w:rPr>
        <w:rFonts w:ascii="Symbol" w:eastAsia="Times New Roman" w:hAnsi="Symbol" w:cs="Times New Roman"/>
      </w:r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abstractNum w:abstractNumId="15" w15:restartNumberingAfterBreak="0">
    <w:nsid w:val="4148345B"/>
    <w:multiLevelType w:val="hybridMultilevel"/>
    <w:tmpl w:val="5DFC1E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81324D"/>
    <w:multiLevelType w:val="multilevel"/>
    <w:tmpl w:val="E3BC596E"/>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7" w15:restartNumberingAfterBreak="0">
    <w:nsid w:val="44D73EE5"/>
    <w:multiLevelType w:val="hybridMultilevel"/>
    <w:tmpl w:val="C2F239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085F00"/>
    <w:multiLevelType w:val="singleLevel"/>
    <w:tmpl w:val="789C6CE0"/>
    <w:lvl w:ilvl="0">
      <w:start w:val="1"/>
      <w:numFmt w:val="decimal"/>
      <w:lvlText w:val="%1."/>
      <w:legacy w:legacy="1" w:legacySpace="0" w:legacyIndent="264"/>
      <w:lvlJc w:val="left"/>
      <w:pPr>
        <w:ind w:left="0" w:firstLine="0"/>
      </w:pPr>
      <w:rPr>
        <w:rFonts w:ascii="Times New Roman" w:hAnsi="Times New Roman" w:cs="Times New Roman" w:hint="default"/>
        <w:b/>
        <w:bCs/>
      </w:rPr>
    </w:lvl>
  </w:abstractNum>
  <w:abstractNum w:abstractNumId="19" w15:restartNumberingAfterBreak="0">
    <w:nsid w:val="5162705F"/>
    <w:multiLevelType w:val="multilevel"/>
    <w:tmpl w:val="99AAB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E67E6B"/>
    <w:multiLevelType w:val="multilevel"/>
    <w:tmpl w:val="26307C1E"/>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1" w15:restartNumberingAfterBreak="0">
    <w:nsid w:val="55DC258A"/>
    <w:multiLevelType w:val="multilevel"/>
    <w:tmpl w:val="D59E9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F85887"/>
    <w:multiLevelType w:val="multilevel"/>
    <w:tmpl w:val="F9EC6816"/>
    <w:lvl w:ilvl="0">
      <w:start w:val="1"/>
      <w:numFmt w:val="decimal"/>
      <w:lvlText w:val="%1"/>
      <w:lvlJc w:val="left"/>
      <w:pPr>
        <w:tabs>
          <w:tab w:val="num" w:pos="0"/>
        </w:tabs>
        <w:ind w:left="1080" w:hanging="360"/>
      </w:pPr>
      <w:rPr>
        <w:rFonts w:ascii="Tahoma" w:hAnsi="Tahoma" w:cs="Tahoma"/>
        <w:color w:val="auto"/>
        <w:sz w:val="18"/>
        <w:szCs w:val="18"/>
      </w:r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23" w15:restartNumberingAfterBreak="0">
    <w:nsid w:val="5A652DAD"/>
    <w:multiLevelType w:val="multilevel"/>
    <w:tmpl w:val="01F08B60"/>
    <w:lvl w:ilvl="0">
      <w:start w:val="1"/>
      <w:numFmt w:val="decimal"/>
      <w:lvlText w:val="%1"/>
      <w:lvlJc w:val="left"/>
      <w:pPr>
        <w:tabs>
          <w:tab w:val="num" w:pos="0"/>
        </w:tabs>
        <w:ind w:left="1113" w:hanging="360"/>
      </w:pPr>
      <w:rPr>
        <w:rFonts w:ascii="Tahoma" w:hAnsi="Tahoma" w:cs="Tahoma"/>
        <w:color w:val="auto"/>
        <w:sz w:val="18"/>
        <w:szCs w:val="18"/>
      </w:rPr>
    </w:lvl>
    <w:lvl w:ilvl="1">
      <w:start w:val="1"/>
      <w:numFmt w:val="lowerLetter"/>
      <w:lvlText w:val="%1.%2"/>
      <w:lvlJc w:val="left"/>
      <w:pPr>
        <w:tabs>
          <w:tab w:val="num" w:pos="0"/>
        </w:tabs>
        <w:ind w:left="1833" w:hanging="360"/>
      </w:pPr>
    </w:lvl>
    <w:lvl w:ilvl="2">
      <w:start w:val="1"/>
      <w:numFmt w:val="lowerRoman"/>
      <w:lvlText w:val="%2.%3"/>
      <w:lvlJc w:val="right"/>
      <w:pPr>
        <w:tabs>
          <w:tab w:val="num" w:pos="0"/>
        </w:tabs>
        <w:ind w:left="2553" w:hanging="180"/>
      </w:pPr>
    </w:lvl>
    <w:lvl w:ilvl="3">
      <w:start w:val="1"/>
      <w:numFmt w:val="decimal"/>
      <w:lvlText w:val="%3.%4"/>
      <w:lvlJc w:val="left"/>
      <w:pPr>
        <w:tabs>
          <w:tab w:val="num" w:pos="0"/>
        </w:tabs>
        <w:ind w:left="3273" w:hanging="360"/>
      </w:pPr>
    </w:lvl>
    <w:lvl w:ilvl="4">
      <w:start w:val="1"/>
      <w:numFmt w:val="lowerLetter"/>
      <w:lvlText w:val="%4.%5"/>
      <w:lvlJc w:val="left"/>
      <w:pPr>
        <w:tabs>
          <w:tab w:val="num" w:pos="0"/>
        </w:tabs>
        <w:ind w:left="3993" w:hanging="360"/>
      </w:pPr>
    </w:lvl>
    <w:lvl w:ilvl="5">
      <w:start w:val="1"/>
      <w:numFmt w:val="lowerRoman"/>
      <w:lvlText w:val="%5.%6"/>
      <w:lvlJc w:val="right"/>
      <w:pPr>
        <w:tabs>
          <w:tab w:val="num" w:pos="0"/>
        </w:tabs>
        <w:ind w:left="4713" w:hanging="180"/>
      </w:pPr>
    </w:lvl>
    <w:lvl w:ilvl="6">
      <w:start w:val="1"/>
      <w:numFmt w:val="decimal"/>
      <w:lvlText w:val="%6.%7"/>
      <w:lvlJc w:val="left"/>
      <w:pPr>
        <w:tabs>
          <w:tab w:val="num" w:pos="0"/>
        </w:tabs>
        <w:ind w:left="5433" w:hanging="360"/>
      </w:pPr>
    </w:lvl>
    <w:lvl w:ilvl="7">
      <w:start w:val="1"/>
      <w:numFmt w:val="lowerLetter"/>
      <w:lvlText w:val="%7.%8"/>
      <w:lvlJc w:val="left"/>
      <w:pPr>
        <w:tabs>
          <w:tab w:val="num" w:pos="0"/>
        </w:tabs>
        <w:ind w:left="6153" w:hanging="360"/>
      </w:pPr>
    </w:lvl>
    <w:lvl w:ilvl="8">
      <w:start w:val="1"/>
      <w:numFmt w:val="lowerRoman"/>
      <w:lvlText w:val="%8.%9"/>
      <w:lvlJc w:val="right"/>
      <w:pPr>
        <w:tabs>
          <w:tab w:val="num" w:pos="0"/>
        </w:tabs>
        <w:ind w:left="6873" w:hanging="180"/>
      </w:pPr>
    </w:lvl>
  </w:abstractNum>
  <w:abstractNum w:abstractNumId="24" w15:restartNumberingAfterBreak="0">
    <w:nsid w:val="5AC0401E"/>
    <w:multiLevelType w:val="multilevel"/>
    <w:tmpl w:val="F0A227B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64D46593"/>
    <w:multiLevelType w:val="multilevel"/>
    <w:tmpl w:val="04EE8BEE"/>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4B3B80"/>
    <w:multiLevelType w:val="multilevel"/>
    <w:tmpl w:val="D0444B98"/>
    <w:lvl w:ilvl="0">
      <w:numFmt w:val="bullet"/>
      <w:lvlText w:val="-"/>
      <w:lvlJc w:val="left"/>
      <w:pPr>
        <w:ind w:left="360" w:hanging="360"/>
      </w:pPr>
      <w:rPr>
        <w:rFonts w:ascii="Calibri" w:hAnsi="Calibri" w:cs="Tahoma"/>
        <w:sz w:val="18"/>
        <w:szCs w:val="18"/>
        <w:lang w:eastAsia="pl-PL"/>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7" w15:restartNumberingAfterBreak="0">
    <w:nsid w:val="69582D65"/>
    <w:multiLevelType w:val="multilevel"/>
    <w:tmpl w:val="8446F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841024"/>
    <w:multiLevelType w:val="multilevel"/>
    <w:tmpl w:val="CD583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0F79A0"/>
    <w:multiLevelType w:val="multilevel"/>
    <w:tmpl w:val="51E42926"/>
    <w:lvl w:ilvl="0">
      <w:start w:val="1"/>
      <w:numFmt w:val="lowerLetter"/>
      <w:lvlText w:val="%1)"/>
      <w:lvlJc w:val="left"/>
      <w:pPr>
        <w:tabs>
          <w:tab w:val="num" w:pos="0"/>
        </w:tabs>
        <w:ind w:left="1440" w:hanging="360"/>
      </w:pPr>
      <w:rPr>
        <w:rFonts w:ascii="Tahoma" w:eastAsia="Times New Roman" w:hAnsi="Tahoma" w:cs="Tahoma"/>
      </w:rPr>
    </w:lvl>
    <w:lvl w:ilvl="1">
      <w:start w:val="1"/>
      <w:numFmt w:val="lowerLetter"/>
      <w:lvlText w:val="%1.%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3.%4"/>
      <w:lvlJc w:val="left"/>
      <w:pPr>
        <w:tabs>
          <w:tab w:val="num" w:pos="0"/>
        </w:tabs>
        <w:ind w:left="3600" w:hanging="360"/>
      </w:pPr>
    </w:lvl>
    <w:lvl w:ilvl="4">
      <w:start w:val="1"/>
      <w:numFmt w:val="lowerLetter"/>
      <w:lvlText w:val="%4.%5"/>
      <w:lvlJc w:val="left"/>
      <w:pPr>
        <w:tabs>
          <w:tab w:val="num" w:pos="0"/>
        </w:tabs>
        <w:ind w:left="4320" w:hanging="360"/>
      </w:pPr>
    </w:lvl>
    <w:lvl w:ilvl="5">
      <w:start w:val="1"/>
      <w:numFmt w:val="lowerRoman"/>
      <w:lvlText w:val="%5.%6"/>
      <w:lvlJc w:val="right"/>
      <w:pPr>
        <w:tabs>
          <w:tab w:val="num" w:pos="0"/>
        </w:tabs>
        <w:ind w:left="5040" w:hanging="180"/>
      </w:pPr>
    </w:lvl>
    <w:lvl w:ilvl="6">
      <w:start w:val="1"/>
      <w:numFmt w:val="decimal"/>
      <w:lvlText w:val="%6.%7"/>
      <w:lvlJc w:val="left"/>
      <w:pPr>
        <w:tabs>
          <w:tab w:val="num" w:pos="0"/>
        </w:tabs>
        <w:ind w:left="5760" w:hanging="360"/>
      </w:pPr>
    </w:lvl>
    <w:lvl w:ilvl="7">
      <w:start w:val="1"/>
      <w:numFmt w:val="lowerLetter"/>
      <w:lvlText w:val="%7.%8"/>
      <w:lvlJc w:val="left"/>
      <w:pPr>
        <w:tabs>
          <w:tab w:val="num" w:pos="0"/>
        </w:tabs>
        <w:ind w:left="6480" w:hanging="360"/>
      </w:pPr>
    </w:lvl>
    <w:lvl w:ilvl="8">
      <w:start w:val="1"/>
      <w:numFmt w:val="lowerRoman"/>
      <w:lvlText w:val="%8.%9"/>
      <w:lvlJc w:val="right"/>
      <w:pPr>
        <w:tabs>
          <w:tab w:val="num" w:pos="0"/>
        </w:tabs>
        <w:ind w:left="7200" w:hanging="180"/>
      </w:pPr>
    </w:lvl>
  </w:abstractNum>
  <w:abstractNum w:abstractNumId="30" w15:restartNumberingAfterBreak="0">
    <w:nsid w:val="76CB1731"/>
    <w:multiLevelType w:val="multilevel"/>
    <w:tmpl w:val="D62024C0"/>
    <w:lvl w:ilvl="0">
      <w:start w:val="1"/>
      <w:numFmt w:val="lowerLetter"/>
      <w:lvlText w:val="%1)"/>
      <w:lvlJc w:val="left"/>
      <w:pPr>
        <w:ind w:left="1080" w:hanging="360"/>
      </w:pPr>
      <w:rPr>
        <w:b w:val="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8146A21"/>
    <w:multiLevelType w:val="hybridMultilevel"/>
    <w:tmpl w:val="B9F436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BE1588"/>
    <w:multiLevelType w:val="multilevel"/>
    <w:tmpl w:val="8A7EA6DC"/>
    <w:lvl w:ilvl="0">
      <w:start w:val="1"/>
      <w:numFmt w:val="decimal"/>
      <w:lvlText w:val="%1."/>
      <w:lvlJc w:val="left"/>
      <w:pPr>
        <w:ind w:left="375" w:hanging="375"/>
      </w:pPr>
      <w:rPr>
        <w:rFonts w:ascii="Tahoma" w:eastAsia="Times New Roman" w:hAnsi="Tahoma" w:cs="Tahoma"/>
        <w:bCs/>
        <w:sz w:val="18"/>
        <w:szCs w:val="18"/>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D0D27EA"/>
    <w:multiLevelType w:val="multilevel"/>
    <w:tmpl w:val="ECD08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6927262">
    <w:abstractNumId w:val="3"/>
  </w:num>
  <w:num w:numId="2" w16cid:durableId="1512406194">
    <w:abstractNumId w:val="29"/>
  </w:num>
  <w:num w:numId="3" w16cid:durableId="976841762">
    <w:abstractNumId w:val="14"/>
  </w:num>
  <w:num w:numId="4" w16cid:durableId="943726575">
    <w:abstractNumId w:val="23"/>
  </w:num>
  <w:num w:numId="5" w16cid:durableId="1880194167">
    <w:abstractNumId w:val="24"/>
  </w:num>
  <w:num w:numId="6" w16cid:durableId="1302493168">
    <w:abstractNumId w:val="22"/>
  </w:num>
  <w:num w:numId="7" w16cid:durableId="1427729057">
    <w:abstractNumId w:val="13"/>
  </w:num>
  <w:num w:numId="8" w16cid:durableId="1728381708">
    <w:abstractNumId w:val="16"/>
  </w:num>
  <w:num w:numId="9" w16cid:durableId="2076587495">
    <w:abstractNumId w:val="20"/>
  </w:num>
  <w:num w:numId="10" w16cid:durableId="1567376411">
    <w:abstractNumId w:val="7"/>
  </w:num>
  <w:num w:numId="11" w16cid:durableId="911357361">
    <w:abstractNumId w:val="13"/>
    <w:lvlOverride w:ilvl="0">
      <w:startOverride w:val="1"/>
    </w:lvlOverride>
  </w:num>
  <w:num w:numId="12" w16cid:durableId="1836647213">
    <w:abstractNumId w:val="13"/>
  </w:num>
  <w:num w:numId="13" w16cid:durableId="1712682009">
    <w:abstractNumId w:val="13"/>
  </w:num>
  <w:num w:numId="14" w16cid:durableId="75236235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973937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40377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6475290">
    <w:abstractNumId w:val="4"/>
  </w:num>
  <w:num w:numId="18" w16cid:durableId="311761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2608536">
    <w:abstractNumId w:val="11"/>
  </w:num>
  <w:num w:numId="20" w16cid:durableId="323627091">
    <w:abstractNumId w:val="15"/>
  </w:num>
  <w:num w:numId="21" w16cid:durableId="894975181">
    <w:abstractNumId w:val="6"/>
  </w:num>
  <w:num w:numId="22" w16cid:durableId="899831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96875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5114613">
    <w:abstractNumId w:val="31"/>
  </w:num>
  <w:num w:numId="25" w16cid:durableId="296299698">
    <w:abstractNumId w:val="17"/>
  </w:num>
  <w:num w:numId="26" w16cid:durableId="198591739">
    <w:abstractNumId w:val="8"/>
  </w:num>
  <w:num w:numId="27" w16cid:durableId="4870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0224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03577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72368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83845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52842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1973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45926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50107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329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42558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967440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79"/>
    <w:rsid w:val="00064F23"/>
    <w:rsid w:val="000C4C88"/>
    <w:rsid w:val="0010118A"/>
    <w:rsid w:val="001E544C"/>
    <w:rsid w:val="0021557C"/>
    <w:rsid w:val="00315079"/>
    <w:rsid w:val="00325ED2"/>
    <w:rsid w:val="00395FE9"/>
    <w:rsid w:val="003A072D"/>
    <w:rsid w:val="004327B6"/>
    <w:rsid w:val="00442AF4"/>
    <w:rsid w:val="00457C74"/>
    <w:rsid w:val="00647920"/>
    <w:rsid w:val="00734CDC"/>
    <w:rsid w:val="007675D9"/>
    <w:rsid w:val="007A10C1"/>
    <w:rsid w:val="00876EEC"/>
    <w:rsid w:val="00946DE5"/>
    <w:rsid w:val="009824F0"/>
    <w:rsid w:val="009A7BE1"/>
    <w:rsid w:val="009D6C80"/>
    <w:rsid w:val="00A15E1F"/>
    <w:rsid w:val="00A258E4"/>
    <w:rsid w:val="00A4355A"/>
    <w:rsid w:val="00A73909"/>
    <w:rsid w:val="00A874E4"/>
    <w:rsid w:val="00BE6BA9"/>
    <w:rsid w:val="00CE06E4"/>
    <w:rsid w:val="00D03BA2"/>
    <w:rsid w:val="00D4321A"/>
    <w:rsid w:val="00E57F30"/>
    <w:rsid w:val="00EE1781"/>
    <w:rsid w:val="00F877A1"/>
    <w:rsid w:val="00FB23A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5C14"/>
  <w15:docId w15:val="{DDA343B6-62AC-46F5-B5FC-C17F94E8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sz w:val="20"/>
      <w:szCs w:val="20"/>
      <w:lang w:eastAsia="ar-SA"/>
    </w:rPr>
  </w:style>
  <w:style w:type="paragraph" w:styleId="Nagwek3">
    <w:name w:val="heading 3"/>
    <w:basedOn w:val="Nagwek"/>
    <w:next w:val="Tekstpodstawowy"/>
    <w:uiPriority w:val="9"/>
    <w:semiHidden/>
    <w:unhideWhenUsed/>
    <w:qFormat/>
    <w:pPr>
      <w:spacing w:before="140" w:after="0"/>
      <w:outlineLvl w:val="2"/>
    </w:pPr>
    <w:rPr>
      <w:rFonts w:ascii="Liberation Serif" w:eastAsia="Segoe UI" w:hAnsi="Liberation Serif"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basedOn w:val="Domylnaczcionkaakapitu"/>
    <w:qFormat/>
    <w:rPr>
      <w:i/>
      <w:iCs/>
    </w:rPr>
  </w:style>
  <w:style w:type="character" w:customStyle="1" w:styleId="TekstdymkaZnak">
    <w:name w:val="Tekst dymka Znak"/>
    <w:basedOn w:val="Domylnaczcionkaakapitu"/>
    <w:qFormat/>
    <w:rPr>
      <w:rFonts w:ascii="Segoe UI" w:eastAsia="Times New Roman" w:hAnsi="Segoe UI" w:cs="Segoe UI"/>
      <w:sz w:val="18"/>
      <w:szCs w:val="18"/>
      <w:lang w:eastAsia="ar-SA"/>
    </w:rPr>
  </w:style>
  <w:style w:type="paragraph" w:styleId="Nagwek">
    <w:name w:val="header"/>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Standard"/>
    <w:qFormat/>
    <w:pPr>
      <w:widowControl/>
      <w:ind w:left="0"/>
      <w:jc w:val="left"/>
      <w:textAlignment w:val="baseline"/>
    </w:pPr>
    <w:rPr>
      <w:rFonts w:ascii="Times New Roman" w:eastAsia="Times New Roman" w:hAnsi="Times New Roman"/>
      <w:kern w:val="2"/>
      <w:sz w:val="20"/>
      <w:lang w:eastAsia="pl-PL"/>
    </w:rPr>
  </w:style>
  <w:style w:type="paragraph" w:customStyle="1" w:styleId="Tekstpodstawowy21">
    <w:name w:val="Tekst podstawowy 21"/>
    <w:basedOn w:val="Normalny"/>
    <w:qFormat/>
    <w:pPr>
      <w:jc w:val="both"/>
    </w:pPr>
    <w:rPr>
      <w:sz w:val="24"/>
    </w:rPr>
  </w:style>
  <w:style w:type="paragraph" w:customStyle="1" w:styleId="Styl1">
    <w:name w:val="Styl1"/>
    <w:basedOn w:val="Normalny"/>
    <w:qFormat/>
    <w:pPr>
      <w:tabs>
        <w:tab w:val="left" w:pos="360"/>
      </w:tabs>
      <w:jc w:val="both"/>
    </w:pPr>
    <w:rPr>
      <w:rFonts w:ascii="Tahoma" w:hAnsi="Tahoma" w:cs="Times New Roman"/>
      <w:sz w:val="22"/>
      <w:szCs w:val="24"/>
    </w:rPr>
  </w:style>
  <w:style w:type="paragraph" w:customStyle="1" w:styleId="Styl2">
    <w:name w:val="Styl2"/>
    <w:basedOn w:val="Normalny"/>
    <w:qFormat/>
    <w:pPr>
      <w:tabs>
        <w:tab w:val="left" w:pos="360"/>
      </w:tabs>
      <w:jc w:val="both"/>
    </w:pPr>
    <w:rPr>
      <w:rFonts w:ascii="Tahoma" w:hAnsi="Tahoma"/>
      <w:sz w:val="22"/>
      <w:szCs w:val="24"/>
    </w:rPr>
  </w:style>
  <w:style w:type="paragraph" w:styleId="Tekstdymka">
    <w:name w:val="Balloon Text"/>
    <w:basedOn w:val="Normalny"/>
    <w:qFormat/>
    <w:rPr>
      <w:rFonts w:ascii="Segoe UI" w:hAnsi="Segoe UI" w:cs="Segoe UI"/>
      <w:sz w:val="18"/>
      <w:szCs w:val="18"/>
    </w:rPr>
  </w:style>
  <w:style w:type="paragraph" w:styleId="NormalnyWeb">
    <w:name w:val="Normal (Web)"/>
    <w:basedOn w:val="Normalny"/>
    <w:qFormat/>
    <w:pPr>
      <w:suppressAutoHyphens w:val="0"/>
      <w:spacing w:before="280" w:after="280"/>
    </w:pPr>
    <w:rPr>
      <w:rFonts w:cs="Times New Roman"/>
      <w:sz w:val="24"/>
      <w:szCs w:val="24"/>
      <w:lang w:eastAsia="pl-PL"/>
    </w:rPr>
  </w:style>
  <w:style w:type="paragraph" w:styleId="Akapitzlist">
    <w:name w:val="List Paragraph"/>
    <w:basedOn w:val="Normalny"/>
    <w:link w:val="AkapitzlistZnak"/>
    <w:qFormat/>
    <w:pPr>
      <w:ind w:left="720"/>
      <w:contextualSpacing/>
    </w:pPr>
  </w:style>
  <w:style w:type="paragraph" w:customStyle="1" w:styleId="Standard">
    <w:name w:val="Standard"/>
    <w:qFormat/>
    <w:pPr>
      <w:widowControl w:val="0"/>
      <w:ind w:left="357"/>
      <w:jc w:val="both"/>
    </w:pPr>
    <w:rPr>
      <w:rFonts w:ascii="Tahoma" w:eastAsia="Arial" w:hAnsi="Tahoma"/>
      <w:szCs w:val="20"/>
      <w:lang w:eastAsia="ar-SA"/>
    </w:rPr>
  </w:style>
  <w:style w:type="character" w:styleId="Uwydatnienie">
    <w:name w:val="Emphasis"/>
    <w:qFormat/>
    <w:rsid w:val="00E57F30"/>
    <w:rPr>
      <w:b/>
      <w:bCs/>
      <w:i w:val="0"/>
      <w:iCs w:val="0"/>
    </w:rPr>
  </w:style>
  <w:style w:type="numbering" w:customStyle="1" w:styleId="WWNum8">
    <w:name w:val="WWNum8"/>
    <w:rsid w:val="007A10C1"/>
    <w:pPr>
      <w:numPr>
        <w:numId w:val="21"/>
      </w:numPr>
    </w:pPr>
  </w:style>
  <w:style w:type="paragraph" w:customStyle="1" w:styleId="Tekstpodstawowy1">
    <w:name w:val="Tekst podstawowy1"/>
    <w:basedOn w:val="Normalny"/>
    <w:rsid w:val="00457C74"/>
    <w:pPr>
      <w:autoSpaceDN w:val="0"/>
      <w:jc w:val="both"/>
    </w:pPr>
    <w:rPr>
      <w:b/>
      <w:kern w:val="3"/>
      <w:sz w:val="24"/>
      <w:lang w:eastAsia="en-US"/>
    </w:rPr>
  </w:style>
  <w:style w:type="character" w:customStyle="1" w:styleId="AkapitzlistZnak">
    <w:name w:val="Akapit z listą Znak"/>
    <w:link w:val="Akapitzlist"/>
    <w:locked/>
    <w:rsid w:val="00734CDC"/>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672">
      <w:bodyDiv w:val="1"/>
      <w:marLeft w:val="0"/>
      <w:marRight w:val="0"/>
      <w:marTop w:val="0"/>
      <w:marBottom w:val="0"/>
      <w:divBdr>
        <w:top w:val="none" w:sz="0" w:space="0" w:color="auto"/>
        <w:left w:val="none" w:sz="0" w:space="0" w:color="auto"/>
        <w:bottom w:val="none" w:sz="0" w:space="0" w:color="auto"/>
        <w:right w:val="none" w:sz="0" w:space="0" w:color="auto"/>
      </w:divBdr>
    </w:div>
    <w:div w:id="27072062">
      <w:bodyDiv w:val="1"/>
      <w:marLeft w:val="0"/>
      <w:marRight w:val="0"/>
      <w:marTop w:val="0"/>
      <w:marBottom w:val="0"/>
      <w:divBdr>
        <w:top w:val="none" w:sz="0" w:space="0" w:color="auto"/>
        <w:left w:val="none" w:sz="0" w:space="0" w:color="auto"/>
        <w:bottom w:val="none" w:sz="0" w:space="0" w:color="auto"/>
        <w:right w:val="none" w:sz="0" w:space="0" w:color="auto"/>
      </w:divBdr>
    </w:div>
    <w:div w:id="729111146">
      <w:bodyDiv w:val="1"/>
      <w:marLeft w:val="0"/>
      <w:marRight w:val="0"/>
      <w:marTop w:val="0"/>
      <w:marBottom w:val="0"/>
      <w:divBdr>
        <w:top w:val="none" w:sz="0" w:space="0" w:color="auto"/>
        <w:left w:val="none" w:sz="0" w:space="0" w:color="auto"/>
        <w:bottom w:val="none" w:sz="0" w:space="0" w:color="auto"/>
        <w:right w:val="none" w:sz="0" w:space="0" w:color="auto"/>
      </w:divBdr>
    </w:div>
    <w:div w:id="815486267">
      <w:bodyDiv w:val="1"/>
      <w:marLeft w:val="0"/>
      <w:marRight w:val="0"/>
      <w:marTop w:val="0"/>
      <w:marBottom w:val="0"/>
      <w:divBdr>
        <w:top w:val="none" w:sz="0" w:space="0" w:color="auto"/>
        <w:left w:val="none" w:sz="0" w:space="0" w:color="auto"/>
        <w:bottom w:val="none" w:sz="0" w:space="0" w:color="auto"/>
        <w:right w:val="none" w:sz="0" w:space="0" w:color="auto"/>
      </w:divBdr>
    </w:div>
    <w:div w:id="1363435709">
      <w:bodyDiv w:val="1"/>
      <w:marLeft w:val="0"/>
      <w:marRight w:val="0"/>
      <w:marTop w:val="0"/>
      <w:marBottom w:val="0"/>
      <w:divBdr>
        <w:top w:val="none" w:sz="0" w:space="0" w:color="auto"/>
        <w:left w:val="none" w:sz="0" w:space="0" w:color="auto"/>
        <w:bottom w:val="none" w:sz="0" w:space="0" w:color="auto"/>
        <w:right w:val="none" w:sz="0" w:space="0" w:color="auto"/>
      </w:divBdr>
    </w:div>
    <w:div w:id="1379861012">
      <w:bodyDiv w:val="1"/>
      <w:marLeft w:val="0"/>
      <w:marRight w:val="0"/>
      <w:marTop w:val="0"/>
      <w:marBottom w:val="0"/>
      <w:divBdr>
        <w:top w:val="none" w:sz="0" w:space="0" w:color="auto"/>
        <w:left w:val="none" w:sz="0" w:space="0" w:color="auto"/>
        <w:bottom w:val="none" w:sz="0" w:space="0" w:color="auto"/>
        <w:right w:val="none" w:sz="0" w:space="0" w:color="auto"/>
      </w:divBdr>
    </w:div>
    <w:div w:id="1707412191">
      <w:bodyDiv w:val="1"/>
      <w:marLeft w:val="0"/>
      <w:marRight w:val="0"/>
      <w:marTop w:val="0"/>
      <w:marBottom w:val="0"/>
      <w:divBdr>
        <w:top w:val="none" w:sz="0" w:space="0" w:color="auto"/>
        <w:left w:val="none" w:sz="0" w:space="0" w:color="auto"/>
        <w:bottom w:val="none" w:sz="0" w:space="0" w:color="auto"/>
        <w:right w:val="none" w:sz="0" w:space="0" w:color="auto"/>
      </w:divBdr>
    </w:div>
    <w:div w:id="1803573577">
      <w:bodyDiv w:val="1"/>
      <w:marLeft w:val="0"/>
      <w:marRight w:val="0"/>
      <w:marTop w:val="0"/>
      <w:marBottom w:val="0"/>
      <w:divBdr>
        <w:top w:val="none" w:sz="0" w:space="0" w:color="auto"/>
        <w:left w:val="none" w:sz="0" w:space="0" w:color="auto"/>
        <w:bottom w:val="none" w:sz="0" w:space="0" w:color="auto"/>
        <w:right w:val="none" w:sz="0" w:space="0" w:color="auto"/>
      </w:divBdr>
    </w:div>
    <w:div w:id="1809206128">
      <w:bodyDiv w:val="1"/>
      <w:marLeft w:val="0"/>
      <w:marRight w:val="0"/>
      <w:marTop w:val="0"/>
      <w:marBottom w:val="0"/>
      <w:divBdr>
        <w:top w:val="none" w:sz="0" w:space="0" w:color="auto"/>
        <w:left w:val="none" w:sz="0" w:space="0" w:color="auto"/>
        <w:bottom w:val="none" w:sz="0" w:space="0" w:color="auto"/>
        <w:right w:val="none" w:sz="0" w:space="0" w:color="auto"/>
      </w:divBdr>
    </w:div>
    <w:div w:id="2037846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5</Pages>
  <Words>2418</Words>
  <Characters>14510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Szeremeta</dc:creator>
  <dc:description/>
  <cp:lastModifiedBy>Kamila Kraft</cp:lastModifiedBy>
  <cp:revision>25</cp:revision>
  <cp:lastPrinted>2024-02-21T07:58:00Z</cp:lastPrinted>
  <dcterms:created xsi:type="dcterms:W3CDTF">2024-02-02T07:51:00Z</dcterms:created>
  <dcterms:modified xsi:type="dcterms:W3CDTF">2024-03-06T10:27:00Z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