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10F7121B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933AC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4E5395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27485B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04/24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25.01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549D50A0" w14:textId="5010FE5C" w:rsidR="00F16E06" w:rsidRPr="00F16E06" w:rsidRDefault="00F16E06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6E0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(</w:t>
      </w: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niniejsze zamówienie stanowi przedmiot odrębnego postępowania udzielanego w częściach,</w:t>
      </w:r>
    </w:p>
    <w:p w14:paraId="41D07C5A" w14:textId="4E091E17" w:rsidR="00B57A5E" w:rsidRPr="00B57A5E" w:rsidRDefault="00F16E06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którego łączna wartość przekracza wyrażoną w złotych równowartość 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.000 euro</w:t>
      </w:r>
      <w:r w:rsidRPr="00F16E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763F6BD3" w14:textId="77777777" w:rsidR="00B57A5E" w:rsidRP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748E3E" w14:textId="5F8A092A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Start w:id="1" w:name="_Hlk141788092"/>
      <w:r w:rsidR="00283A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283AA9" w:rsidRPr="00283A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bookmarkEnd w:id="0"/>
    <w:bookmarkEnd w:id="1"/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Pr="00B57A5E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6538EA08" w14:textId="77777777" w:rsidR="00B57A5E" w:rsidRPr="00B57A5E" w:rsidRDefault="00B57A5E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2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2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7FCF37F" w14:textId="671BB89E" w:rsidR="00B57A5E" w:rsidRPr="001E1C9A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ED3E77" w14:textId="77777777" w:rsidR="001E1C9A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</w:p>
    <w:p w14:paraId="1C81FBAD" w14:textId="77777777" w:rsidR="001E1C9A" w:rsidRPr="00721F34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4720FCAF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27485B">
        <w:rPr>
          <w:rFonts w:ascii="Times New Roman" w:eastAsia="Times New Roman" w:hAnsi="Times New Roman" w:cs="Times New Roman"/>
          <w:b/>
          <w:lang w:eastAsia="pl-PL"/>
        </w:rPr>
        <w:t>04/24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33A18ECF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C305D8">
        <w:rPr>
          <w:rFonts w:ascii="Times New Roman" w:eastAsia="Arial" w:hAnsi="Times New Roman" w:cs="Times New Roman"/>
          <w:bCs/>
          <w:iCs/>
          <w:lang w:eastAsia="pl-PL"/>
        </w:rPr>
        <w:t>Ewa Sztuczka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3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60769E90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13FF0">
        <w:rPr>
          <w:rFonts w:ascii="Times New Roman" w:eastAsia="Arial" w:hAnsi="Times New Roman" w:cs="Times New Roman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08.03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56B31410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08.03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4B564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242752F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4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4"/>
    <w:p w14:paraId="38F4C6B1" w14:textId="1A9635E3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rozporządzenia Rady (UE) 2022/576 w sprawie zmiany rozporządzenia (UE) nr 833/2014 dotyczącego środków ograniczających w związku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>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0B50EB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2022 r. poz. 593 i 655)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2E98D798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2021 r. poz. 217, 2105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i 2106), jest podmiot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wymieniony 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5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5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6AD1A870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6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6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060C024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7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7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676A9624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70.907,88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7C9B70A2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19.500,00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651A6056" w:rsidR="00F7600E" w:rsidRPr="00B57A5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84.816,00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52E85CA2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8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8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10F0A9BC" w14:textId="4E38C8E0" w:rsidR="00086E41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ED6023">
        <w:t xml:space="preserve"> </w:t>
      </w:r>
      <w:proofErr w:type="spellStart"/>
      <w:r w:rsidRPr="00ED6023">
        <w:t>Przedmiotem</w:t>
      </w:r>
      <w:proofErr w:type="spellEnd"/>
      <w:r w:rsidRPr="00ED6023">
        <w:t xml:space="preserve"> </w:t>
      </w:r>
      <w:proofErr w:type="spellStart"/>
      <w:r w:rsidRPr="00ED6023">
        <w:t>zamówienia</w:t>
      </w:r>
      <w:proofErr w:type="spellEnd"/>
      <w:r w:rsidRPr="00ED6023">
        <w:t xml:space="preserve"> </w:t>
      </w:r>
      <w:proofErr w:type="spellStart"/>
      <w:r w:rsidRPr="00ED6023">
        <w:t>jest</w:t>
      </w:r>
      <w:bookmarkStart w:id="9" w:name="_Hlk156204923"/>
      <w:proofErr w:type="spellEnd"/>
      <w:r w:rsidR="00235365">
        <w:rPr>
          <w:b/>
          <w:bCs/>
          <w:sz w:val="22"/>
          <w:szCs w:val="22"/>
          <w:lang w:val="pl-PL"/>
        </w:rPr>
        <w:t>:</w:t>
      </w:r>
    </w:p>
    <w:bookmarkEnd w:id="9"/>
    <w:p w14:paraId="15D27BA3" w14:textId="6CC35A24" w:rsidR="009A4708" w:rsidRDefault="009A4708" w:rsidP="009A4708">
      <w:pPr>
        <w:pStyle w:val="Akapitzlist"/>
        <w:ind w:left="2127" w:hanging="1335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Zadanie Nr 1- </w:t>
      </w:r>
      <w:proofErr w:type="spellStart"/>
      <w:r w:rsidRPr="00ED6023">
        <w:rPr>
          <w:b/>
          <w:bCs/>
        </w:rPr>
        <w:t>dostawa</w:t>
      </w:r>
      <w:proofErr w:type="spellEnd"/>
      <w:r w:rsidRPr="00ED6023">
        <w:rPr>
          <w:b/>
          <w:bCs/>
        </w:rPr>
        <w:t xml:space="preserve"> </w:t>
      </w:r>
      <w:r w:rsidRPr="00ED6023">
        <w:rPr>
          <w:b/>
          <w:bCs/>
          <w:sz w:val="22"/>
          <w:szCs w:val="22"/>
          <w:lang w:val="pl-PL"/>
        </w:rPr>
        <w:t>zestawów do podciśnieniowego leczenia niewydolności zespolenia dolnej części odbytniczej</w:t>
      </w:r>
      <w:r w:rsidR="00235365">
        <w:rPr>
          <w:b/>
          <w:bCs/>
          <w:sz w:val="22"/>
          <w:szCs w:val="22"/>
          <w:lang w:val="pl-PL"/>
        </w:rPr>
        <w:t>,</w:t>
      </w:r>
    </w:p>
    <w:p w14:paraId="1B5C3C2A" w14:textId="6FF6FE25" w:rsidR="009A4708" w:rsidRDefault="009A4708" w:rsidP="009A4708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2-</w:t>
      </w:r>
      <w:r w:rsidRPr="009A4708">
        <w:rPr>
          <w:b/>
          <w:bCs/>
        </w:rPr>
        <w:t xml:space="preserve"> </w:t>
      </w:r>
      <w:proofErr w:type="spellStart"/>
      <w:r w:rsidRPr="00ED6023"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jednorazowych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sterylnych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sond</w:t>
      </w:r>
      <w:proofErr w:type="spellEnd"/>
      <w:r>
        <w:rPr>
          <w:b/>
          <w:bCs/>
        </w:rPr>
        <w:t xml:space="preserve"> </w:t>
      </w:r>
      <w:r w:rsidR="00235365" w:rsidRPr="00ED6023">
        <w:rPr>
          <w:b/>
          <w:bCs/>
          <w:sz w:val="22"/>
          <w:szCs w:val="22"/>
          <w:lang w:val="pl-PL"/>
        </w:rPr>
        <w:t>dopplerowskich skórnych</w:t>
      </w:r>
      <w:r w:rsidR="00235365">
        <w:rPr>
          <w:b/>
          <w:bCs/>
        </w:rPr>
        <w:t>,</w:t>
      </w:r>
    </w:p>
    <w:p w14:paraId="658E070C" w14:textId="1F989E95" w:rsidR="009A4708" w:rsidRPr="00ED6023" w:rsidRDefault="009A4708" w:rsidP="009A4708">
      <w:pPr>
        <w:pStyle w:val="Akapitzlist"/>
        <w:ind w:left="2127" w:hanging="1335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3-</w:t>
      </w:r>
      <w:r w:rsidRPr="009A4708">
        <w:rPr>
          <w:b/>
          <w:bCs/>
        </w:rPr>
        <w:t xml:space="preserve"> </w:t>
      </w:r>
      <w:proofErr w:type="spellStart"/>
      <w:r w:rsidRPr="00ED6023">
        <w:rPr>
          <w:b/>
          <w:bCs/>
        </w:rPr>
        <w:t>dostawa</w:t>
      </w:r>
      <w:proofErr w:type="spellEnd"/>
      <w:r>
        <w:t xml:space="preserve"> </w:t>
      </w:r>
      <w:proofErr w:type="spellStart"/>
      <w:r w:rsidRPr="009A4708">
        <w:rPr>
          <w:b/>
          <w:bCs/>
        </w:rPr>
        <w:t>wierteł</w:t>
      </w:r>
      <w:proofErr w:type="spellEnd"/>
      <w:r w:rsidRPr="009A4708">
        <w:rPr>
          <w:b/>
          <w:bCs/>
        </w:rPr>
        <w:t xml:space="preserve"> i </w:t>
      </w:r>
      <w:proofErr w:type="spellStart"/>
      <w:r w:rsidRPr="009A4708">
        <w:rPr>
          <w:b/>
          <w:bCs/>
        </w:rPr>
        <w:t>ostrzy</w:t>
      </w:r>
      <w:proofErr w:type="spellEnd"/>
      <w:r w:rsidRPr="009A4708">
        <w:rPr>
          <w:b/>
          <w:bCs/>
        </w:rPr>
        <w:t xml:space="preserve"> do </w:t>
      </w:r>
      <w:proofErr w:type="spellStart"/>
      <w:r w:rsidRPr="009A4708">
        <w:rPr>
          <w:b/>
          <w:bCs/>
        </w:rPr>
        <w:t>pił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kompatybilnych</w:t>
      </w:r>
      <w:proofErr w:type="spellEnd"/>
      <w:r w:rsidRPr="009A4708">
        <w:rPr>
          <w:b/>
          <w:bCs/>
        </w:rPr>
        <w:t xml:space="preserve"> z </w:t>
      </w:r>
      <w:proofErr w:type="spellStart"/>
      <w:r w:rsidRPr="009A4708">
        <w:rPr>
          <w:b/>
          <w:bCs/>
        </w:rPr>
        <w:t>napędami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ortopedycznymi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Colibrii</w:t>
      </w:r>
      <w:proofErr w:type="spellEnd"/>
      <w:r w:rsidRPr="009A4708">
        <w:rPr>
          <w:b/>
          <w:bCs/>
        </w:rPr>
        <w:t>, EPD, TRS.</w:t>
      </w:r>
    </w:p>
    <w:p w14:paraId="541E41D1" w14:textId="638D0BBE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6D7909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3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1D756339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6D7909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3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66B5965B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1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bookmarkStart w:id="12" w:name="_Hlk155962185"/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i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</w:t>
      </w:r>
      <w:bookmarkEnd w:id="12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0"/>
    <w:bookmarkEnd w:id="11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Pr="005C0CEF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C0CEF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>
        <w:rPr>
          <w:rFonts w:ascii="Times New Roman" w:eastAsia="Times New Roman" w:hAnsi="Times New Roman" w:cs="Times New Roman"/>
          <w:iCs/>
          <w:lang w:eastAsia="ar-SA"/>
        </w:rPr>
        <w:br/>
      </w:r>
      <w:r w:rsidRPr="005C0CEF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77777777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7B0DF040" w:rsidR="00B57A5E" w:rsidRPr="000875D4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045F0C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045F0C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092A91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5704C04" w:rsidR="00B57A5E" w:rsidRPr="00057608" w:rsidRDefault="00465297" w:rsidP="00B50D2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4652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10.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0293859" w:rsidR="00B57A5E" w:rsidRPr="00B57A5E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10.1. </w:t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49AB494" w14:textId="5DA54F11" w:rsidR="00B57A5E" w:rsidRPr="00B57A5E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10.2.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składa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ofertą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E0E3A88" w14:textId="6107447D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10.3.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złożył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złożone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niekompletne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wezwie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uzupełnienia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wyznaczonym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terminie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stosuje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środek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służy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="00B50D20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pomimo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podlega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odrzuceniu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albo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zachodzą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przesłanki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unieważnienia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2E836AF" w14:textId="78AA17C7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10.4.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żądać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wyjaśnień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treści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186A679" w14:textId="4EA34FFC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10.5.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akceptuje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równoważne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jeśli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5AD5411" w14:textId="3FA95F87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10.6. </w:t>
      </w:r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Zamawiający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wymaga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złożenia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następujących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przedmiotowych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środków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:      </w:t>
      </w:r>
    </w:p>
    <w:p w14:paraId="23F2F989" w14:textId="77777777" w:rsidR="0031086E" w:rsidRPr="00DE4B3D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oświadczenia o posiadaniu wszystkich wymaganych (zgodnie z Ustawą o wyrobach medycznych </w:t>
      </w:r>
      <w:proofErr w:type="spellStart"/>
      <w:r w:rsidRPr="00DE4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DE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dotyczy tylko sytuacji, gdy oferowany wyrób jest </w:t>
      </w:r>
      <w:r w:rsidRPr="00DE4B3D">
        <w:rPr>
          <w:rFonts w:ascii="Times New Roman" w:hAnsi="Times New Roman" w:cs="Times New Roman"/>
          <w:b/>
          <w:i/>
          <w:color w:val="000000"/>
          <w:sz w:val="24"/>
          <w:szCs w:val="24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63FE73D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11.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27B4F084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1FB08FFB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11.2.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E16CFB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4"/>
          <w:szCs w:val="4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E16CF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4"/>
          <w:szCs w:val="4"/>
          <w:lang w:eastAsia="ar-SA"/>
        </w:rPr>
      </w:pPr>
    </w:p>
    <w:p w14:paraId="5F8EE42B" w14:textId="4792D680" w:rsidR="00B57A5E" w:rsidRPr="00472896" w:rsidRDefault="00B57A5E" w:rsidP="00E16CFB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sz w:val="23"/>
          <w:szCs w:val="23"/>
          <w:lang w:bidi="en-US"/>
        </w:rPr>
      </w:pPr>
      <w:r w:rsidRPr="00E16CFB">
        <w:rPr>
          <w:rFonts w:ascii="Times New Roman" w:eastAsia="Lucida Sans Unicode" w:hAnsi="Times New Roman" w:cs="Tahoma"/>
          <w:bCs/>
          <w:kern w:val="1"/>
          <w:sz w:val="23"/>
          <w:szCs w:val="23"/>
          <w:lang w:val="de-DE" w:eastAsia="fa-IR" w:bidi="en-US"/>
        </w:rPr>
        <w:t>1.</w:t>
      </w:r>
      <w:r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 xml:space="preserve"> </w:t>
      </w:r>
      <w:r w:rsidR="00E63050"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 xml:space="preserve"> </w:t>
      </w:r>
      <w:r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>Termin</w:t>
      </w:r>
      <w:r w:rsidRPr="00E16CFB">
        <w:rPr>
          <w:rFonts w:ascii="Times New Roman" w:eastAsia="Times New Roman" w:hAnsi="Times New Roman" w:cs="Times New Roman"/>
          <w:b/>
          <w:kern w:val="1"/>
          <w:sz w:val="23"/>
          <w:szCs w:val="23"/>
          <w:lang w:val="de-DE" w:eastAsia="fa-IR" w:bidi="en-US"/>
        </w:rPr>
        <w:t xml:space="preserve"> </w:t>
      </w:r>
      <w:proofErr w:type="spellStart"/>
      <w:r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>obowi</w:t>
      </w:r>
      <w:r w:rsidR="00DE5859"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>ą</w:t>
      </w:r>
      <w:r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>zywania</w:t>
      </w:r>
      <w:proofErr w:type="spellEnd"/>
      <w:r w:rsidRPr="00E16CFB">
        <w:rPr>
          <w:rFonts w:ascii="Times New Roman" w:eastAsia="Times New Roman" w:hAnsi="Times New Roman" w:cs="Times New Roman"/>
          <w:b/>
          <w:kern w:val="1"/>
          <w:sz w:val="23"/>
          <w:szCs w:val="23"/>
          <w:lang w:val="de-DE" w:eastAsia="fa-IR" w:bidi="en-US"/>
        </w:rPr>
        <w:t xml:space="preserve"> </w:t>
      </w:r>
      <w:proofErr w:type="spellStart"/>
      <w:r w:rsidRPr="00E16CFB">
        <w:rPr>
          <w:rFonts w:ascii="Times New Roman" w:eastAsia="Lucida Sans Unicode" w:hAnsi="Times New Roman" w:cs="Tahoma"/>
          <w:b/>
          <w:kern w:val="1"/>
          <w:sz w:val="23"/>
          <w:szCs w:val="23"/>
          <w:lang w:val="de-DE" w:eastAsia="fa-IR" w:bidi="en-US"/>
        </w:rPr>
        <w:t>umowy</w:t>
      </w:r>
      <w:proofErr w:type="spellEnd"/>
      <w:r w:rsidRPr="00E16CFB">
        <w:rPr>
          <w:rFonts w:ascii="Times New Roman" w:eastAsia="Lucida Sans Unicode" w:hAnsi="Times New Roman" w:cs="Tahoma"/>
          <w:kern w:val="1"/>
          <w:sz w:val="23"/>
          <w:szCs w:val="23"/>
          <w:lang w:bidi="en-US"/>
        </w:rPr>
        <w:t xml:space="preserve"> – 24 miesiące, licząc od daty zawarcia umowy</w:t>
      </w:r>
      <w:r w:rsidR="0054698E">
        <w:rPr>
          <w:rFonts w:ascii="Times New Roman" w:eastAsia="Lucida Sans Unicode" w:hAnsi="Times New Roman" w:cs="Tahoma"/>
          <w:kern w:val="1"/>
          <w:sz w:val="23"/>
          <w:szCs w:val="23"/>
          <w:lang w:bidi="en-US"/>
        </w:rPr>
        <w:t>,</w:t>
      </w:r>
      <w:r w:rsidR="00E16CFB" w:rsidRPr="00E16CFB">
        <w:rPr>
          <w:rFonts w:ascii="Times New Roman" w:eastAsia="Lucida Sans Unicode" w:hAnsi="Times New Roman" w:cs="Tahoma"/>
          <w:kern w:val="1"/>
          <w:sz w:val="23"/>
          <w:szCs w:val="23"/>
          <w:lang w:bidi="en-US"/>
        </w:rPr>
        <w:t xml:space="preserve"> </w:t>
      </w:r>
      <w:r w:rsidR="00E16CFB" w:rsidRPr="00472896">
        <w:rPr>
          <w:rFonts w:ascii="Times New Roman" w:eastAsia="Lucida Sans Unicode" w:hAnsi="Times New Roman" w:cs="Tahoma"/>
          <w:kern w:val="1"/>
          <w:sz w:val="23"/>
          <w:szCs w:val="23"/>
          <w:lang w:bidi="en-US"/>
        </w:rPr>
        <w:t>z wyjątkiem Zadania Nr 1 poz. 4, gdzie umowa będzie obowiązywała do dnia 30.09.2024 r.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lastRenderedPageBreak/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P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783938A9" w:rsidR="00B57A5E" w:rsidRPr="00437B08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437B08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2.363,60 </w:t>
      </w:r>
      <w:proofErr w:type="spellStart"/>
      <w:r w:rsidR="005605EE" w:rsidRPr="00437B08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437B08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7782A834" w:rsidR="00B57A5E" w:rsidRPr="00B57A5E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   650,00 </w:t>
      </w:r>
      <w:proofErr w:type="spellStart"/>
      <w:r w:rsidR="008045D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10199613" w:rsidR="00FD46BC" w:rsidRPr="00B57A5E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de-DE" w:eastAsia="pl-PL"/>
        </w:rPr>
        <w:t>3</w:t>
      </w:r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2.827,20 </w:t>
      </w: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7E09808B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27485B">
        <w:rPr>
          <w:rFonts w:ascii="Times New Roman" w:eastAsia="Andale Sans UI" w:hAnsi="Times New Roman" w:cs="Tahoma"/>
          <w:b/>
          <w:kern w:val="1"/>
          <w:lang w:eastAsia="fa-IR" w:bidi="fa-IR"/>
        </w:rPr>
        <w:t>04/24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5B030D87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4B564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05.06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5C5B3AAF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AA1C5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lastRenderedPageBreak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6B6A6475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AA1C53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3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420619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420619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420619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lastRenderedPageBreak/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61E61" w14:textId="7BA846E7" w:rsidR="009A170A" w:rsidRDefault="009A17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B6AB0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9A2F5C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DEFAB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1A3321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F5E1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D4D099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262E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65C3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8D170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F72336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FF02BC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E812E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C8DEB1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EEC83F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7129F32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003A5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3</w:t>
      </w: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oceny kryterium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75F5FC2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0EBB4873" w14:textId="07D20BC2" w:rsidR="002E2541" w:rsidRDefault="00B57A5E" w:rsidP="00E14C8B">
      <w:pPr>
        <w:spacing w:after="0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3" w:name="_Hlk125974546"/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3"/>
      <w:proofErr w:type="spellEnd"/>
      <w:r w:rsidR="00045F0C" w:rsidRPr="00045F0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zestawów do podciśnieniowego leczenia niewydolności zespolenia dolnej części odbytniczej, zszywaczy skórnych, sond dopplerowskich skórnych oraz wierteł i ostrzy do pił kompatybilnych z napędami ortopedycznymi </w:t>
      </w:r>
      <w:proofErr w:type="spellStart"/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Colibrii</w:t>
      </w:r>
      <w:proofErr w:type="spellEnd"/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 EPD, TRS</w:t>
      </w:r>
    </w:p>
    <w:p w14:paraId="5D49A233" w14:textId="4CB30341" w:rsidR="00B57A5E" w:rsidRDefault="00A47F31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A85CCB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A85CCB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639BBF1" w14:textId="77777777" w:rsidR="0047611A" w:rsidRPr="00B57A5E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2B20B16B" w14:textId="77777777" w:rsidR="00E14C8B" w:rsidRDefault="00E14C8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05EFAF54" w14:textId="3D43AFAF" w:rsidR="008C22A4" w:rsidRDefault="008C22A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B7A3D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B57A5E">
      <w:pPr>
        <w:widowControl w:val="0"/>
        <w:suppressAutoHyphens/>
        <w:spacing w:after="24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4463AEC0" w14:textId="3E587EC0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 xml:space="preserve">(Dz. U. z 2022 </w:t>
      </w:r>
      <w:proofErr w:type="spellStart"/>
      <w:r w:rsidRPr="00113BE3">
        <w:rPr>
          <w:rFonts w:cs="Times New Roman"/>
          <w:kern w:val="3"/>
          <w:lang w:eastAsia="zh-CN"/>
        </w:rPr>
        <w:t>poz</w:t>
      </w:r>
      <w:proofErr w:type="spellEnd"/>
      <w:r w:rsidRPr="00113BE3">
        <w:rPr>
          <w:rFonts w:cs="Times New Roman"/>
          <w:kern w:val="3"/>
          <w:lang w:eastAsia="zh-CN"/>
        </w:rPr>
        <w:t>. 835 z 15</w:t>
      </w:r>
      <w:r w:rsidRPr="00113BE3">
        <w:rPr>
          <w:rFonts w:cs="Times New Roman"/>
          <w:b/>
          <w:kern w:val="3"/>
          <w:lang w:eastAsia="zh-CN"/>
        </w:rPr>
        <w:t>.</w:t>
      </w:r>
      <w:r w:rsidRPr="00113BE3">
        <w:rPr>
          <w:rFonts w:cs="Times New Roman"/>
          <w:kern w:val="3"/>
          <w:lang w:eastAsia="zh-CN"/>
        </w:rPr>
        <w:t>04.2022).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113BE3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9F5287E" w14:textId="0414DB62" w:rsidR="00B57A5E" w:rsidRPr="00A230B1" w:rsidRDefault="00B57A5E" w:rsidP="00A230B1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A6729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A6729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A6729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A6729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A6729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A6729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BA6729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A6729">
        <w:rPr>
          <w:rFonts w:ascii="Times New Roman" w:eastAsia="Lucida Sans Unicode" w:hAnsi="Times New Roman" w:cs="Tahoma"/>
          <w:kern w:val="1"/>
          <w:lang w:bidi="en-US"/>
        </w:rPr>
        <w:t>, licząc od daty zawarcia umowy</w:t>
      </w:r>
      <w:r w:rsidR="006A6CC8">
        <w:rPr>
          <w:rFonts w:ascii="Times New Roman" w:eastAsia="Lucida Sans Unicode" w:hAnsi="Times New Roman" w:cs="Tahoma"/>
          <w:kern w:val="1"/>
          <w:lang w:bidi="en-US"/>
        </w:rPr>
        <w:t>,</w:t>
      </w:r>
      <w:r w:rsidR="00A230B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BA6729" w:rsidRPr="00A230B1">
        <w:rPr>
          <w:rFonts w:ascii="Times New Roman" w:eastAsia="Lucida Sans Unicode" w:hAnsi="Times New Roman" w:cs="Tahoma"/>
          <w:kern w:val="2"/>
          <w:lang w:bidi="en-US"/>
        </w:rPr>
        <w:t>z wyjątkiem Zadania Nr 1 poz. 4, gdzie umowa będzie obowiązywała do dnia 30.09.2024 r.</w:t>
      </w:r>
    </w:p>
    <w:p w14:paraId="569AF900" w14:textId="77777777" w:rsidR="00A230B1" w:rsidRPr="00A230B1" w:rsidRDefault="00A230B1" w:rsidP="00A230B1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Jednocześnie ze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>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B57A5E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Pr="00FA52A5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55678484" w14:textId="77777777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77B71EE9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2AC7E05F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40984B76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27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46B45691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57C4F" w:rsidRP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i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</w:t>
      </w:r>
      <w:r w:rsidR="00F57C4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56EC36A" w:rsidR="00551516" w:rsidRPr="007A3C5C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FA52A5"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7A3C5C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7A3C5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7A3C5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4"/>
          <w:szCs w:val="4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0B023775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z </w:t>
      </w:r>
      <w:proofErr w:type="spellStart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wyjątkiem</w:t>
      </w:r>
      <w:proofErr w:type="spellEnd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Zadania</w:t>
      </w:r>
      <w:proofErr w:type="spellEnd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Nr</w:t>
      </w:r>
      <w:proofErr w:type="spellEnd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 </w:t>
      </w:r>
      <w:proofErr w:type="spellStart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poz</w:t>
      </w:r>
      <w:proofErr w:type="spellEnd"/>
      <w:r w:rsidR="00A230B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 4</w:t>
      </w:r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która</w:t>
      </w:r>
      <w:proofErr w:type="spellEnd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obowiązywała</w:t>
      </w:r>
      <w:proofErr w:type="spellEnd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do </w:t>
      </w:r>
      <w:proofErr w:type="spellStart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dnia</w:t>
      </w:r>
      <w:proofErr w:type="spellEnd"/>
      <w:r w:rsidR="007A3C5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30.09.2024 r.,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  <w:r w:rsidR="001F145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7A3C5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4"/>
          <w:szCs w:val="4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4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4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235AA635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B8001F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A695625" w14:textId="77777777" w:rsidR="00B8001F" w:rsidRPr="007A3C5C" w:rsidRDefault="00B8001F" w:rsidP="00B8001F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4"/>
          <w:szCs w:val="4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824DF9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824DF9">
        <w:t>Każda</w:t>
      </w:r>
      <w:proofErr w:type="spellEnd"/>
      <w:r w:rsidRPr="00824DF9">
        <w:t xml:space="preserve"> </w:t>
      </w:r>
      <w:proofErr w:type="spellStart"/>
      <w:r w:rsidRPr="00824DF9">
        <w:t>ze</w:t>
      </w:r>
      <w:proofErr w:type="spellEnd"/>
      <w:r w:rsidRPr="00824DF9">
        <w:t xml:space="preserve"> </w:t>
      </w:r>
      <w:proofErr w:type="spellStart"/>
      <w:r w:rsidRPr="00824DF9">
        <w:t>Stron</w:t>
      </w:r>
      <w:proofErr w:type="spellEnd"/>
      <w:r w:rsidRPr="00824DF9">
        <w:t xml:space="preserve"> </w:t>
      </w:r>
      <w:proofErr w:type="spellStart"/>
      <w:r w:rsidRPr="00824DF9">
        <w:t>umowy</w:t>
      </w:r>
      <w:proofErr w:type="spellEnd"/>
      <w:r w:rsidRPr="00824DF9">
        <w:t xml:space="preserve"> </w:t>
      </w:r>
      <w:proofErr w:type="spellStart"/>
      <w:r w:rsidRPr="00824DF9">
        <w:t>może</w:t>
      </w:r>
      <w:proofErr w:type="spellEnd"/>
      <w:r w:rsidRPr="00824DF9">
        <w:t xml:space="preserve"> </w:t>
      </w:r>
      <w:proofErr w:type="spellStart"/>
      <w:r w:rsidRPr="00824DF9">
        <w:t>żądać</w:t>
      </w:r>
      <w:proofErr w:type="spellEnd"/>
      <w:r w:rsidRPr="00824DF9">
        <w:t xml:space="preserve"> </w:t>
      </w:r>
      <w:proofErr w:type="spellStart"/>
      <w:r w:rsidRPr="00824DF9">
        <w:t>odszkodowania</w:t>
      </w:r>
      <w:proofErr w:type="spellEnd"/>
      <w:r w:rsidRPr="00824DF9">
        <w:t xml:space="preserve"> </w:t>
      </w:r>
      <w:proofErr w:type="spellStart"/>
      <w:r w:rsidRPr="00824DF9">
        <w:t>uzupełniającego</w:t>
      </w:r>
      <w:proofErr w:type="spellEnd"/>
      <w:r w:rsidRPr="00824DF9">
        <w:t xml:space="preserve"> </w:t>
      </w:r>
      <w:proofErr w:type="spellStart"/>
      <w:r w:rsidRPr="00824DF9">
        <w:t>przewyższającego</w:t>
      </w:r>
      <w:proofErr w:type="spellEnd"/>
      <w:r w:rsidRPr="00824DF9">
        <w:t xml:space="preserve"> </w:t>
      </w:r>
      <w:proofErr w:type="spellStart"/>
      <w:r w:rsidRPr="00824DF9">
        <w:t>wartość</w:t>
      </w:r>
      <w:proofErr w:type="spellEnd"/>
      <w:r w:rsidRPr="00824DF9">
        <w:t xml:space="preserve"> </w:t>
      </w:r>
      <w:proofErr w:type="spellStart"/>
      <w:r w:rsidRPr="00824DF9">
        <w:t>wskazanych</w:t>
      </w:r>
      <w:proofErr w:type="spellEnd"/>
      <w:r w:rsidRPr="00824DF9">
        <w:t xml:space="preserve"> </w:t>
      </w:r>
      <w:proofErr w:type="spellStart"/>
      <w:r w:rsidRPr="00824DF9">
        <w:t>wyżej</w:t>
      </w:r>
      <w:proofErr w:type="spellEnd"/>
      <w:r w:rsidRPr="00824DF9">
        <w:t xml:space="preserve"> </w:t>
      </w:r>
      <w:proofErr w:type="spellStart"/>
      <w:r w:rsidRPr="00824DF9">
        <w:t>kar</w:t>
      </w:r>
      <w:proofErr w:type="spellEnd"/>
      <w:r w:rsidRPr="00824DF9">
        <w:t xml:space="preserve"> </w:t>
      </w:r>
      <w:proofErr w:type="spellStart"/>
      <w:r w:rsidRPr="00824DF9">
        <w:t>umownych</w:t>
      </w:r>
      <w:proofErr w:type="spellEnd"/>
      <w:r w:rsidRPr="00824DF9">
        <w:t xml:space="preserve"> do </w:t>
      </w:r>
      <w:proofErr w:type="spellStart"/>
      <w:r w:rsidRPr="00824DF9">
        <w:t>pełnej</w:t>
      </w:r>
      <w:proofErr w:type="spellEnd"/>
      <w:r w:rsidRPr="00824DF9">
        <w:t xml:space="preserve"> </w:t>
      </w:r>
      <w:proofErr w:type="spellStart"/>
      <w:r w:rsidRPr="00824DF9">
        <w:t>wysokości</w:t>
      </w:r>
      <w:proofErr w:type="spellEnd"/>
      <w:r w:rsidRPr="00824DF9">
        <w:t xml:space="preserve"> </w:t>
      </w:r>
      <w:proofErr w:type="spellStart"/>
      <w:r w:rsidRPr="00824DF9">
        <w:t>wyrządzonej</w:t>
      </w:r>
      <w:proofErr w:type="spellEnd"/>
      <w:r w:rsidRPr="00824DF9">
        <w:t xml:space="preserve"> </w:t>
      </w:r>
      <w:proofErr w:type="spellStart"/>
      <w:r w:rsidRPr="00824DF9">
        <w:t>szkody</w:t>
      </w:r>
      <w:proofErr w:type="spellEnd"/>
      <w:r w:rsidRPr="00824DF9">
        <w:t xml:space="preserve"> na </w:t>
      </w:r>
      <w:proofErr w:type="spellStart"/>
      <w:r w:rsidRPr="00824DF9">
        <w:lastRenderedPageBreak/>
        <w:t>zasadach</w:t>
      </w:r>
      <w:proofErr w:type="spellEnd"/>
      <w:r w:rsidRPr="00824DF9">
        <w:t xml:space="preserve"> </w:t>
      </w:r>
      <w:proofErr w:type="spellStart"/>
      <w:r w:rsidRPr="00824DF9">
        <w:t>ogólnych</w:t>
      </w:r>
      <w:proofErr w:type="spellEnd"/>
      <w:r w:rsidRPr="00824DF9">
        <w:t xml:space="preserve"> </w:t>
      </w:r>
      <w:proofErr w:type="spellStart"/>
      <w:r w:rsidRPr="00824DF9">
        <w:t>Kodeksu</w:t>
      </w:r>
      <w:proofErr w:type="spellEnd"/>
      <w:r w:rsidRPr="00824DF9">
        <w:t xml:space="preserve"> </w:t>
      </w:r>
      <w:proofErr w:type="spellStart"/>
      <w:r w:rsidRPr="00824DF9">
        <w:t>Cywilnego</w:t>
      </w:r>
      <w:proofErr w:type="spellEnd"/>
      <w:r w:rsidRPr="00824DF9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B23259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5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5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223DB8FA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0C413DE8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i wskazanie podstaw zmiany oraz dokładne wyliczenie kwoty wynagrodzenia należnego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 rynku lub wstrzymania produkcji, w cenie nie wyższej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6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6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7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7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26A926EB" w:rsidR="00501974" w:rsidRPr="00602CAC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41438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1ABD0CC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485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04/24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3FFA79A7" w14:textId="77777777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501974" w:rsidRPr="008C3F2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Pr="00B57A5E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535672A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485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04/24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202DD6EB" w14:textId="77777777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501974" w:rsidRPr="008C3F2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4A9D54DF" w14:textId="77777777" w:rsidR="0011171D" w:rsidRDefault="0011171D" w:rsidP="00501974">
      <w:pPr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00306341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8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8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A27495D" w14:textId="462C3A77" w:rsidR="00DB56E1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F61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01974" w:rsidRPr="005019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0889C36A" w14:textId="77777777" w:rsidR="00501974" w:rsidRPr="00501974" w:rsidRDefault="0050197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5D489CDD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9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9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o ile został wpisany na listę na podstawie decyzji w sprawie wpisu na listę rozstrzygającej                                o zastosowaniu środka, 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414386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039925F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099A84E2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501974" w:rsidRPr="005019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414386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414386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414386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0AA" w14:textId="77777777" w:rsidR="00414386" w:rsidRDefault="00414386" w:rsidP="00B57A5E">
      <w:pPr>
        <w:spacing w:after="0" w:line="240" w:lineRule="auto"/>
      </w:pPr>
      <w:r>
        <w:separator/>
      </w:r>
    </w:p>
  </w:endnote>
  <w:endnote w:type="continuationSeparator" w:id="0">
    <w:p w14:paraId="52C254F1" w14:textId="77777777" w:rsidR="00414386" w:rsidRDefault="00414386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335E" w14:textId="77777777" w:rsidR="00414386" w:rsidRDefault="00414386" w:rsidP="00B57A5E">
      <w:pPr>
        <w:spacing w:after="0" w:line="240" w:lineRule="auto"/>
      </w:pPr>
      <w:r>
        <w:separator/>
      </w:r>
    </w:p>
  </w:footnote>
  <w:footnote w:type="continuationSeparator" w:id="0">
    <w:p w14:paraId="40E43D55" w14:textId="77777777" w:rsidR="00414386" w:rsidRDefault="00414386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45D8"/>
    <w:rsid w:val="000B304E"/>
    <w:rsid w:val="000B501C"/>
    <w:rsid w:val="000B7F9C"/>
    <w:rsid w:val="000C096A"/>
    <w:rsid w:val="000D1C5D"/>
    <w:rsid w:val="000D1DB2"/>
    <w:rsid w:val="000E1E8B"/>
    <w:rsid w:val="000E6B81"/>
    <w:rsid w:val="000F40B0"/>
    <w:rsid w:val="00102030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1459"/>
    <w:rsid w:val="001F460B"/>
    <w:rsid w:val="001F517F"/>
    <w:rsid w:val="001F55E1"/>
    <w:rsid w:val="00201E75"/>
    <w:rsid w:val="00202D82"/>
    <w:rsid w:val="002030FA"/>
    <w:rsid w:val="00205348"/>
    <w:rsid w:val="0021582D"/>
    <w:rsid w:val="00223412"/>
    <w:rsid w:val="00232E4B"/>
    <w:rsid w:val="00233BE1"/>
    <w:rsid w:val="00235365"/>
    <w:rsid w:val="00244F8B"/>
    <w:rsid w:val="002452FB"/>
    <w:rsid w:val="00246FA6"/>
    <w:rsid w:val="00247D8B"/>
    <w:rsid w:val="00250BA3"/>
    <w:rsid w:val="00253984"/>
    <w:rsid w:val="002562AC"/>
    <w:rsid w:val="00267CCE"/>
    <w:rsid w:val="0027485B"/>
    <w:rsid w:val="00282C66"/>
    <w:rsid w:val="00283AA9"/>
    <w:rsid w:val="00292EBB"/>
    <w:rsid w:val="002930C9"/>
    <w:rsid w:val="002A1AE3"/>
    <w:rsid w:val="002A7109"/>
    <w:rsid w:val="002A73CD"/>
    <w:rsid w:val="002A7B49"/>
    <w:rsid w:val="002B3AA2"/>
    <w:rsid w:val="002C0937"/>
    <w:rsid w:val="002C0F90"/>
    <w:rsid w:val="002C211A"/>
    <w:rsid w:val="002C3AE1"/>
    <w:rsid w:val="002C3E50"/>
    <w:rsid w:val="002C66CB"/>
    <w:rsid w:val="002C6D3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B0DAD"/>
    <w:rsid w:val="003B3BFB"/>
    <w:rsid w:val="003B453C"/>
    <w:rsid w:val="003C135C"/>
    <w:rsid w:val="003D4817"/>
    <w:rsid w:val="003D770D"/>
    <w:rsid w:val="003D7AEA"/>
    <w:rsid w:val="003E0782"/>
    <w:rsid w:val="003E62E7"/>
    <w:rsid w:val="003F53EB"/>
    <w:rsid w:val="00414386"/>
    <w:rsid w:val="00420619"/>
    <w:rsid w:val="0042664A"/>
    <w:rsid w:val="004325F7"/>
    <w:rsid w:val="00437B08"/>
    <w:rsid w:val="00441644"/>
    <w:rsid w:val="00465297"/>
    <w:rsid w:val="004704C2"/>
    <w:rsid w:val="00472896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DC5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25D54"/>
    <w:rsid w:val="005342A7"/>
    <w:rsid w:val="00535BD4"/>
    <w:rsid w:val="0054698E"/>
    <w:rsid w:val="00551404"/>
    <w:rsid w:val="00551516"/>
    <w:rsid w:val="00555ECF"/>
    <w:rsid w:val="00557CAC"/>
    <w:rsid w:val="005602E4"/>
    <w:rsid w:val="005605EE"/>
    <w:rsid w:val="00570712"/>
    <w:rsid w:val="005738BB"/>
    <w:rsid w:val="00580E3C"/>
    <w:rsid w:val="00585C94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3784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8459E"/>
    <w:rsid w:val="00690702"/>
    <w:rsid w:val="006A59A2"/>
    <w:rsid w:val="006A5A88"/>
    <w:rsid w:val="006A6CC8"/>
    <w:rsid w:val="006B0371"/>
    <w:rsid w:val="006B3C1E"/>
    <w:rsid w:val="006B73DE"/>
    <w:rsid w:val="006C276E"/>
    <w:rsid w:val="006C5108"/>
    <w:rsid w:val="006C6CA7"/>
    <w:rsid w:val="006D0DD1"/>
    <w:rsid w:val="006D3EA4"/>
    <w:rsid w:val="006D7909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45BA0"/>
    <w:rsid w:val="00746879"/>
    <w:rsid w:val="0075139C"/>
    <w:rsid w:val="00753A6E"/>
    <w:rsid w:val="0075506F"/>
    <w:rsid w:val="00757258"/>
    <w:rsid w:val="007671CC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3C5C"/>
    <w:rsid w:val="007A5055"/>
    <w:rsid w:val="007B06E6"/>
    <w:rsid w:val="007B7394"/>
    <w:rsid w:val="007C18C4"/>
    <w:rsid w:val="007C34D4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65CE"/>
    <w:rsid w:val="00817B39"/>
    <w:rsid w:val="00824DF9"/>
    <w:rsid w:val="00830A8E"/>
    <w:rsid w:val="008354BC"/>
    <w:rsid w:val="0083704C"/>
    <w:rsid w:val="0084023C"/>
    <w:rsid w:val="00841773"/>
    <w:rsid w:val="008425C7"/>
    <w:rsid w:val="00844F3C"/>
    <w:rsid w:val="00850770"/>
    <w:rsid w:val="00851CBC"/>
    <w:rsid w:val="00860E68"/>
    <w:rsid w:val="00865082"/>
    <w:rsid w:val="00875AD1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E296F"/>
    <w:rsid w:val="008F2F34"/>
    <w:rsid w:val="008F33A7"/>
    <w:rsid w:val="008F5335"/>
    <w:rsid w:val="008F5681"/>
    <w:rsid w:val="009034CB"/>
    <w:rsid w:val="00905EE9"/>
    <w:rsid w:val="0091540D"/>
    <w:rsid w:val="00915A61"/>
    <w:rsid w:val="0093224D"/>
    <w:rsid w:val="00933AC0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6DFD"/>
    <w:rsid w:val="009C6E80"/>
    <w:rsid w:val="009E3E62"/>
    <w:rsid w:val="009F14C0"/>
    <w:rsid w:val="009F6DBA"/>
    <w:rsid w:val="00A02BE2"/>
    <w:rsid w:val="00A069BD"/>
    <w:rsid w:val="00A15AD8"/>
    <w:rsid w:val="00A230B1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2FC"/>
    <w:rsid w:val="00A45764"/>
    <w:rsid w:val="00A47F31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50D20"/>
    <w:rsid w:val="00B522B8"/>
    <w:rsid w:val="00B552F1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A6729"/>
    <w:rsid w:val="00BB4817"/>
    <w:rsid w:val="00BB4B4F"/>
    <w:rsid w:val="00BB5446"/>
    <w:rsid w:val="00BB7CBF"/>
    <w:rsid w:val="00BC25F4"/>
    <w:rsid w:val="00BC56FF"/>
    <w:rsid w:val="00BD2EC1"/>
    <w:rsid w:val="00BD3EDC"/>
    <w:rsid w:val="00BE5126"/>
    <w:rsid w:val="00BF016B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2562B"/>
    <w:rsid w:val="00D25AC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409E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16CFB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63050"/>
    <w:rsid w:val="00E82264"/>
    <w:rsid w:val="00E84EC3"/>
    <w:rsid w:val="00E84F75"/>
    <w:rsid w:val="00E868E0"/>
    <w:rsid w:val="00E977E0"/>
    <w:rsid w:val="00EC07A4"/>
    <w:rsid w:val="00EC5CE8"/>
    <w:rsid w:val="00EC6CA0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81B83"/>
    <w:rsid w:val="00F862B8"/>
    <w:rsid w:val="00F86A6D"/>
    <w:rsid w:val="00F94F14"/>
    <w:rsid w:val="00FA2CBA"/>
    <w:rsid w:val="00FA52A5"/>
    <w:rsid w:val="00FC0AA5"/>
    <w:rsid w:val="00FC493A"/>
    <w:rsid w:val="00FC73BD"/>
    <w:rsid w:val="00FD258F"/>
    <w:rsid w:val="00FD46BC"/>
    <w:rsid w:val="00FE34CC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43</Pages>
  <Words>19726</Words>
  <Characters>118357</Characters>
  <Application>Microsoft Office Word</Application>
  <DocSecurity>0</DocSecurity>
  <Lines>986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668</cp:revision>
  <cp:lastPrinted>2024-02-28T09:59:00Z</cp:lastPrinted>
  <dcterms:created xsi:type="dcterms:W3CDTF">2023-08-08T07:00:00Z</dcterms:created>
  <dcterms:modified xsi:type="dcterms:W3CDTF">2024-02-28T12:44:00Z</dcterms:modified>
</cp:coreProperties>
</file>