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38BC" w:rsidRDefault="00C038BC" w:rsidP="00C038BC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SIWZ</w:t>
      </w:r>
    </w:p>
    <w:p w:rsidR="00C038BC" w:rsidRDefault="00010AEA" w:rsidP="00C038BC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534</w:t>
      </w:r>
      <w:r w:rsidR="00C038BC">
        <w:rPr>
          <w:b/>
          <w:sz w:val="22"/>
          <w:szCs w:val="22"/>
        </w:rPr>
        <w:t>/2019/PN/DZP</w:t>
      </w:r>
    </w:p>
    <w:p w:rsidR="00C038BC" w:rsidRDefault="00C038BC" w:rsidP="00C038BC">
      <w:pPr>
        <w:pStyle w:val="Nagwek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PRZEDMIOTU ZAMÓWIENIA</w:t>
      </w:r>
    </w:p>
    <w:p w:rsidR="00C038BC" w:rsidRDefault="00C038BC" w:rsidP="00C038BC"/>
    <w:p w:rsidR="00C038BC" w:rsidRDefault="00C038BC" w:rsidP="00C038B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Budowa budynku Wydziału Prawa i Administracji oraz Wydziału Nauk Społecznych Uniwersytetu Warmińsko – Mazurskiego przy ul. Warszawskiej w Olsztynie </w:t>
      </w:r>
    </w:p>
    <w:p w:rsidR="00C038BC" w:rsidRDefault="00C038BC" w:rsidP="00C038BC">
      <w:pPr>
        <w:spacing w:line="276" w:lineRule="auto"/>
        <w:jc w:val="center"/>
        <w:rPr>
          <w:color w:val="000000"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1. PRZEDMIOT ZAMÓWIENIA</w:t>
      </w:r>
    </w:p>
    <w:p w:rsidR="00C038BC" w:rsidRDefault="00C038BC" w:rsidP="00C038BC">
      <w:pPr>
        <w:pStyle w:val="Akapitzlist"/>
        <w:numPr>
          <w:ilvl w:val="0"/>
          <w:numId w:val="2"/>
        </w:numPr>
        <w:suppressAutoHyphens/>
        <w:spacing w:after="0"/>
        <w:ind w:left="426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realizacja obiektu, zgodnie z dokumentacją projektową  Budynku Wydziału Prawa i Administracji oraz Wydziału Nauk Społecznych Uniwersytetu Warmińsko - Mazurskiego przy ul. Warszawskiej 98 w Olsztynie, dz. nr 152 – 37/6, wraz z pozwoleniem na użytkowanie. </w:t>
      </w:r>
    </w:p>
    <w:p w:rsidR="00C038BC" w:rsidRDefault="00C038BC" w:rsidP="00C038BC">
      <w:pPr>
        <w:pStyle w:val="Akapitzlist"/>
        <w:suppressAutoHyphens/>
        <w:spacing w:after="0"/>
        <w:ind w:left="426"/>
        <w:jc w:val="both"/>
        <w:rPr>
          <w:szCs w:val="24"/>
        </w:rPr>
      </w:pPr>
      <w:r>
        <w:rPr>
          <w:szCs w:val="24"/>
        </w:rPr>
        <w:t xml:space="preserve"> 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2. PRZEZNACZENIE I PROGRAM UŻYTKOWY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2.1 Piwnica  - poziom „-4,37”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 części  podziemnej budynku wydzielono 3 strefy funkcjonalne: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2.1.1 Garaż dla samochodów osobowych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Wjazd do garażu odbywa się pochylnią zewnętrzną od strony południowej budynku. W gar</w:t>
      </w:r>
      <w:r>
        <w:rPr>
          <w:szCs w:val="24"/>
        </w:rPr>
        <w:t>a</w:t>
      </w:r>
      <w:r>
        <w:rPr>
          <w:szCs w:val="24"/>
        </w:rPr>
        <w:t>żu przewiduje się parking dla samochodów osobowych na 38 miejsc postojowych. Wydziel</w:t>
      </w:r>
      <w:r>
        <w:rPr>
          <w:szCs w:val="24"/>
        </w:rPr>
        <w:t>o</w:t>
      </w:r>
      <w:r>
        <w:rPr>
          <w:szCs w:val="24"/>
        </w:rPr>
        <w:t>no miejsce dla tymczasowego postoju samochodów dostawczych. Dostęp klatką schodową K2, K3, windami W1/W2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2.1.2 Część techniczna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 jej skład wchodzą pomieszczenia techniczne: pomieszczenie rozdzielni elektrycznej, prz</w:t>
      </w:r>
      <w:r>
        <w:rPr>
          <w:szCs w:val="24"/>
        </w:rPr>
        <w:t>y</w:t>
      </w:r>
      <w:r>
        <w:rPr>
          <w:szCs w:val="24"/>
        </w:rPr>
        <w:t xml:space="preserve">łącze wody,  </w:t>
      </w:r>
      <w:proofErr w:type="spellStart"/>
      <w:r>
        <w:rPr>
          <w:szCs w:val="24"/>
        </w:rPr>
        <w:t>wentylatornia</w:t>
      </w:r>
      <w:proofErr w:type="spellEnd"/>
      <w:r>
        <w:rPr>
          <w:szCs w:val="24"/>
        </w:rPr>
        <w:t>, węzeł cieplny – MPEC, węzeł solarny, separator. Wydzielono pomieszczenie magazynu napojów należące do bufetu. Dostęp do części technicznej klatką schodową K3, windami W1/W2, dojazdem przez parking samochodowy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2.1.3 Część dydaktyczna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 sale wykładowe z węzłem sanitarnym  oraz zapleczem magazynowym. W salach wykład</w:t>
      </w:r>
      <w:r>
        <w:rPr>
          <w:szCs w:val="24"/>
        </w:rPr>
        <w:t>o</w:t>
      </w:r>
      <w:r>
        <w:rPr>
          <w:szCs w:val="24"/>
        </w:rPr>
        <w:t>wych zaprojektowano z wzniesienie podłogi co 15 cm każdy rząd. Szerokość stopni 82 cm. Ilość rzędów w salach – 10, różnica poziomów między pierwszym i ostatnim rzędem 135 cm.  Dużą salę wykładową wyposażono w pomieszczenie reżyserki. Wejście do części dydaktyc</w:t>
      </w:r>
      <w:r>
        <w:rPr>
          <w:szCs w:val="24"/>
        </w:rPr>
        <w:t>z</w:t>
      </w:r>
      <w:r>
        <w:rPr>
          <w:szCs w:val="24"/>
        </w:rPr>
        <w:t>nej klatką schodową K1 lub K3 i windami W1 / W2.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2.2 Parter – poziom „0,00”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Wydzielono 5 stref funkcjonalnych.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2.2.1. Strefa 1 - Skrzydło  południowo 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wydziału Nauk Społecznych (WNS)  i  Studium Języków O</w:t>
      </w:r>
      <w:r>
        <w:rPr>
          <w:szCs w:val="24"/>
        </w:rPr>
        <w:t>b</w:t>
      </w:r>
      <w:r>
        <w:rPr>
          <w:szCs w:val="24"/>
        </w:rPr>
        <w:t>cych (SJO). Dostęp z klatki schodowej K1,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2.2.2. Strefa 2 – Skrzydło południowo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Pomieszczenia dydaktyczne Wydziału Prawa i Administracji (</w:t>
      </w:r>
      <w:proofErr w:type="spellStart"/>
      <w:r>
        <w:rPr>
          <w:szCs w:val="24"/>
        </w:rPr>
        <w:t>WPiA</w:t>
      </w:r>
      <w:proofErr w:type="spellEnd"/>
      <w:r>
        <w:rPr>
          <w:szCs w:val="24"/>
        </w:rPr>
        <w:t>):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sale dydaktyczne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sala sądowa z pomieszczeniami pomocniczymi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K2,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2.2.3.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-wejście główne, 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-szatnia (ok. 500 okryć)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-bufet studentów i pracowników,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-punkt ksero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2.2.4. Strefa 4 – Skrzydło północno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władz wydziału  i administracji </w:t>
      </w:r>
      <w:proofErr w:type="spellStart"/>
      <w:r>
        <w:rPr>
          <w:szCs w:val="24"/>
        </w:rPr>
        <w:t>WPiA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dziekanat,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władz wydziału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pracowników administracyjnych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laboratorium kryminalistyczne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pomieszczenie ochrony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pomocnicze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K4,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2.2.5. Strefa 5 – Skrzydło północno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władz wydziału  i administracji WNS: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dziekanat,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władz wydziału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pracowników administracyjnych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sala ćwiczeń małych form teatralnych z zapleczem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sala przedszkolna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punkt pomocy psychologa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pracownia kształcenia nauczycieli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pomocnicze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K5, K6,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2.3 Piętro  I – poziom „+4,20”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2.3.1. Strefa 1 - Skrzydło  południowo 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dydaktyczne Studium Języków Obcych (SJO).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K1,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2.3.2. Strefa 2 – Skrzydło południowo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Wydziału Prawa i Administracji (</w:t>
      </w:r>
      <w:proofErr w:type="spellStart"/>
      <w:r>
        <w:rPr>
          <w:szCs w:val="24"/>
        </w:rPr>
        <w:t>WPiA</w:t>
      </w:r>
      <w:proofErr w:type="spellEnd"/>
      <w:r>
        <w:rPr>
          <w:szCs w:val="24"/>
        </w:rPr>
        <w:t>):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K2,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2.3.3.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władz i pracowników SJO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2.3.4. Strefa 4 – Skrzydło północno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pracowników </w:t>
      </w:r>
      <w:proofErr w:type="spellStart"/>
      <w:r>
        <w:rPr>
          <w:szCs w:val="24"/>
        </w:rPr>
        <w:t>WPiA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K4,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2.3.5. Strefa 5 – Skrzydło północno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pracowników WNS: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K5, K6,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2.4 Piętro  II – poziom „+8,40”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2.4.1. Strefa 1 - Skrzydło  południowo 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WNS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K1,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2.4.2. Strefa 2 – Skrzydło południowo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dydaktyczne </w:t>
      </w:r>
      <w:proofErr w:type="spellStart"/>
      <w:r>
        <w:rPr>
          <w:szCs w:val="24"/>
        </w:rPr>
        <w:t>WPiA</w:t>
      </w:r>
      <w:proofErr w:type="spellEnd"/>
      <w:r>
        <w:rPr>
          <w:szCs w:val="24"/>
        </w:rPr>
        <w:t>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K2,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2.4.3.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WNS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2.4.4. Strefa 4 – Skrzydło północno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pracowników </w:t>
      </w:r>
      <w:proofErr w:type="spellStart"/>
      <w:r>
        <w:rPr>
          <w:szCs w:val="24"/>
        </w:rPr>
        <w:t>WPiA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K4,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2.4.5. Strefa 5 – Skrzydło północno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pracowników WNS: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K5,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2.5 Piętro  III – poziom „+12,60”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2.5.1.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Sale rady wydziałów z zapleczem socjalnym i technicznym.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Pomieszczenie techniczne – </w:t>
      </w:r>
      <w:proofErr w:type="spellStart"/>
      <w:r>
        <w:rPr>
          <w:szCs w:val="24"/>
        </w:rPr>
        <w:t>wentylatornia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*Pomieszczenia pomocnicze: magazyny, archiwa, sanitariaty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3. PARAMETRY BUDYNKU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Budynek posiada od 2 do 4 kondygnacji nadziemnych, jest częściowo podpiwniczony. Wys</w:t>
      </w:r>
      <w:r>
        <w:rPr>
          <w:szCs w:val="24"/>
        </w:rPr>
        <w:t>o</w:t>
      </w:r>
      <w:r>
        <w:rPr>
          <w:szCs w:val="24"/>
        </w:rPr>
        <w:t xml:space="preserve">kość kondygnacji nadziemnych brutto  - 4,2 m, wysokość kondygnacji podziemnej brutto 4,37 m. Max wysokość budynku  wynosi 17,73m. Dach płaski kryty papą na styropianie  lub membraną PCV na wełnie mineralnej,  odwadniany systemem podciśnieniowym </w:t>
      </w:r>
      <w:proofErr w:type="spellStart"/>
      <w:r>
        <w:rPr>
          <w:szCs w:val="24"/>
        </w:rPr>
        <w:t>Geberit</w:t>
      </w:r>
      <w:proofErr w:type="spellEnd"/>
      <w:r>
        <w:rPr>
          <w:szCs w:val="24"/>
        </w:rPr>
        <w:t xml:space="preserve">. Ściany zewnętrzne z bloczków </w:t>
      </w:r>
      <w:proofErr w:type="spellStart"/>
      <w:r>
        <w:rPr>
          <w:szCs w:val="24"/>
        </w:rPr>
        <w:t>Silka</w:t>
      </w:r>
      <w:proofErr w:type="spellEnd"/>
      <w:r>
        <w:rPr>
          <w:szCs w:val="24"/>
        </w:rPr>
        <w:t xml:space="preserve"> Tempo 24 cm wykończone płytką klinkierową. Ściany zewnętrzne poniżej poziomu terenu żelbetowe Budynek ocieplony styropianem EPS 100  - 17 cm.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 budynku zaprojektowano 6 klatek schodowych i 2 dźwigi osobowo – towarowe a także podnośnik wyrównawczy dla osób niepełnosprawnych na poziomie piwnicy. Poziom +-0,00 = 110,75 m n.p.m. Poziom terenu urządzonego przy budynku od 110,30 m n.p.m.  do 110,73 m n.p.m..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4. FORMA ARCHITEKTONICZNA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Ze względu na uprzywilejowane położenie działki - niżej niż budynki wydziałów human</w:t>
      </w:r>
      <w:r>
        <w:rPr>
          <w:szCs w:val="24"/>
        </w:rPr>
        <w:t>i</w:t>
      </w:r>
      <w:r>
        <w:rPr>
          <w:szCs w:val="24"/>
        </w:rPr>
        <w:t>stycznych Uniwersytetu, widokowo odsłoniętej od stron najazdowych z kierunku Warszawy oraz centrum Olsztyna, przyjęto taką kompozycję urbanistyczną, która wpisze się w stan z</w:t>
      </w:r>
      <w:r>
        <w:rPr>
          <w:szCs w:val="24"/>
        </w:rPr>
        <w:t>a</w:t>
      </w:r>
      <w:r>
        <w:rPr>
          <w:szCs w:val="24"/>
        </w:rPr>
        <w:t>stany, nie zdegraduje otoczenia i w sposób przemyślany zaakcentuje swoją funkcję. Forma architektoniczna – kształtowane kaskadowo wysokości poszczególnych brył budynku, otw</w:t>
      </w:r>
      <w:r>
        <w:rPr>
          <w:szCs w:val="24"/>
        </w:rPr>
        <w:t>o</w:t>
      </w:r>
      <w:r>
        <w:rPr>
          <w:szCs w:val="24"/>
        </w:rPr>
        <w:t>rzy widok na położone wyżej obiekty uniwersyteckie i powiąże funkcjonalnie budynek z kampusem Uniwersytetu.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Budynek składa się z kilku brył, których wysokość zwiększa się z północy na południe ilość kondygnacji zwiększa się - z dwóch, przy ulicy Dybowskiego, do trzech i maksymalnie czt</w:t>
      </w:r>
      <w:r>
        <w:rPr>
          <w:szCs w:val="24"/>
        </w:rPr>
        <w:t>e</w:t>
      </w:r>
      <w:r>
        <w:rPr>
          <w:szCs w:val="24"/>
        </w:rPr>
        <w:t xml:space="preserve">rech w centralnej części założenia.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Obiekt można podzielić w bryle na trzy zasadnicze części  – środkową czterokondygnacyjną oraz dwu i trzykondygnacyjne skrzydła obu wydziałów. W części wejściowej oplatają one dziedziniec, z którego prowadzi główne wejście do budynku. Dziedziniec pełni funkcję int</w:t>
      </w:r>
      <w:r>
        <w:rPr>
          <w:szCs w:val="24"/>
        </w:rPr>
        <w:t>e</w:t>
      </w:r>
      <w:r>
        <w:rPr>
          <w:szCs w:val="24"/>
        </w:rPr>
        <w:t>gracyjno-wypoczynkową dla użytkowników oraz podkreśla oficjalny charakter uczelni. Na</w:t>
      </w:r>
      <w:r>
        <w:rPr>
          <w:szCs w:val="24"/>
        </w:rPr>
        <w:t>j</w:t>
      </w:r>
      <w:r>
        <w:rPr>
          <w:szCs w:val="24"/>
        </w:rPr>
        <w:t>wyższą część założenia stanowi centralnie zlokalizowany trzon pełniący funkcję wspólna – w nim znajdują się hole główne stanowiące strefę buforową pomiędzy pozostałymi funkcjami. Tam też znajduje się wejście główne do budynku – od strony północnej.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Niezwykle istotne są elewacje od ulicy Warszawskiej i Dybowskiego; dla osoby poruszającej się samochodem widok obiektu w osi tej ulicy będzie wyraźnie sygnalizował jego walory i charakter. Dla pieszych zaprojektowane elewacje również stanowią o charakterze miejsca i budynku, i zdają się zapraszać na dziedziniec wejściowy poprzez obniżenie części budynku od ulicy Dybowskiego do dwóch kondygnacji.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Przyjęto prostą formę architektoniczną. Budynek składa się z kilku prostopadłościennych brył o zmiennych wysokościach. Ich ułożenie względem siebie i proporcje podkreślają znaczenie funkcji. Najwyższa część założenia zlokalizowana centralnie pełni funkcję buforową pomi</w:t>
      </w:r>
      <w:r>
        <w:rPr>
          <w:szCs w:val="24"/>
        </w:rPr>
        <w:t>ę</w:t>
      </w:r>
      <w:r>
        <w:rPr>
          <w:szCs w:val="24"/>
        </w:rPr>
        <w:lastRenderedPageBreak/>
        <w:t xml:space="preserve">dzy funkcjami dydaktyczną i pracowniczą; znajdują się w niej przestronne hole i główny trzon komunikacyjny, zawiera strefę wejściową do budynku, pełni funkcję reprezentacyjną.  Do części środkowej dostawione są niższe bryły– od strony południowej 3- kondygnacyjne skrzydła z pomieszczeniami dydaktycznymi, od północnej 2 do 3 - kondygnacyjne skrzydła z pomieszczeniami administracyjnymi i pracowniczymi, których ułożenie tworzy dziedziniec zewnętrzny– przedpole strefy wejściowej.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Zastosowano rozstaw okien tworzący uporządkowany rytm na elewacji. Na podstawie jedn</w:t>
      </w:r>
      <w:r>
        <w:rPr>
          <w:szCs w:val="24"/>
        </w:rPr>
        <w:t>e</w:t>
      </w:r>
      <w:r>
        <w:rPr>
          <w:szCs w:val="24"/>
        </w:rPr>
        <w:t>go modułu przyjęto dwie wielkości otworów okiennych których dobór wynika z funkcji p</w:t>
      </w:r>
      <w:r>
        <w:rPr>
          <w:szCs w:val="24"/>
        </w:rPr>
        <w:t>o</w:t>
      </w:r>
      <w:r>
        <w:rPr>
          <w:szCs w:val="24"/>
        </w:rPr>
        <w:t xml:space="preserve">mieszczeń. W parterze okna </w:t>
      </w:r>
      <w:proofErr w:type="spellStart"/>
      <w:r>
        <w:rPr>
          <w:szCs w:val="24"/>
        </w:rPr>
        <w:t>zlicowano</w:t>
      </w:r>
      <w:proofErr w:type="spellEnd"/>
      <w:r>
        <w:rPr>
          <w:szCs w:val="24"/>
        </w:rPr>
        <w:t xml:space="preserve"> z wewnętrzną płaszczyzną muru aby wydobyć świ</w:t>
      </w:r>
      <w:r>
        <w:rPr>
          <w:szCs w:val="24"/>
        </w:rPr>
        <w:t>a</w:t>
      </w:r>
      <w:r>
        <w:rPr>
          <w:szCs w:val="24"/>
        </w:rPr>
        <w:t xml:space="preserve">tłocień na elewacji a otwory w murze sięgają poziomu terenu przy budynku na podobieństwo kolumnady aby podkreślić prestiż funkcji budynku jaką jest uczelnia wyższa.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Wejście główne do budynku prowadzi z dziedzińca od północy. Zostało zaakcentowane p</w:t>
      </w:r>
      <w:r>
        <w:rPr>
          <w:szCs w:val="24"/>
        </w:rPr>
        <w:t>o</w:t>
      </w:r>
      <w:r>
        <w:rPr>
          <w:szCs w:val="24"/>
        </w:rPr>
        <w:t xml:space="preserve">przez podcień zapewniający jednocześnie niezbędne zadaszenie  </w:t>
      </w:r>
    </w:p>
    <w:p w:rsidR="00C038BC" w:rsidRDefault="00C038BC" w:rsidP="00C038BC">
      <w:pPr>
        <w:spacing w:line="276" w:lineRule="auto"/>
        <w:jc w:val="both"/>
        <w:rPr>
          <w:color w:val="FF0000"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5. KONSTRUKCJA BUDYNKU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Ściany kondygnacji podziemnych gr. 24 cm, wylewane z betonu i zbrojone stalą. Wewnętrzna konstrukcja oparta na siatce słupów żelbetowych i ścianach monolitycznych trzonów kom</w:t>
      </w:r>
      <w:r>
        <w:rPr>
          <w:szCs w:val="24"/>
        </w:rPr>
        <w:t>u</w:t>
      </w:r>
      <w:r>
        <w:rPr>
          <w:szCs w:val="24"/>
        </w:rPr>
        <w:t>nikacyjnych. Na kondygnacjach nadziemnych konstrukcję stanowią ściany zewnętrzne m</w:t>
      </w:r>
      <w:r>
        <w:rPr>
          <w:szCs w:val="24"/>
        </w:rPr>
        <w:t>u</w:t>
      </w:r>
      <w:r>
        <w:rPr>
          <w:szCs w:val="24"/>
        </w:rPr>
        <w:t xml:space="preserve">rowane z cegły wapienno – piaskowej uzupełnione rdzeniami żelbetowymi , słupy żelbetowe i monolityczne żelbetowe trzony komunikacyjne.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Stropy żelbetowe, zespolone typu Filigran. Posadowienie bezpośrednie na ławach i stopach żelbetowych.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6. WARUNKI GRUNTOWO  - WODNE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Nawiercone na obszarze badań grunty zaliczono do czterech warstw geologicznych. Do wa</w:t>
      </w:r>
      <w:r>
        <w:rPr>
          <w:szCs w:val="24"/>
        </w:rPr>
        <w:t>r</w:t>
      </w:r>
      <w:r>
        <w:rPr>
          <w:szCs w:val="24"/>
        </w:rPr>
        <w:t>stwy pierwszej zaliczono holoceńskie grunty nasypowe, do drugiej gleby, do trzeciej plejst</w:t>
      </w:r>
      <w:r>
        <w:rPr>
          <w:szCs w:val="24"/>
        </w:rPr>
        <w:t>o</w:t>
      </w:r>
      <w:r>
        <w:rPr>
          <w:szCs w:val="24"/>
        </w:rPr>
        <w:t>ceńskie osady zastoiskowe, do czwartej grunty morenowe. We wszystkich wykonanych otw</w:t>
      </w:r>
      <w:r>
        <w:rPr>
          <w:szCs w:val="24"/>
        </w:rPr>
        <w:t>o</w:t>
      </w:r>
      <w:r>
        <w:rPr>
          <w:szCs w:val="24"/>
        </w:rPr>
        <w:t>rach wiertniczych stwierdzono występowanie wody gruntowej o zwierciadle swobodnym, zwierciadle napiętym oraz w postaci sączeń w obrębie gruntów spoistych. Po upływie kilku godzin od wykonania otworów wiertniczych poziom lustra wody ustabilizował się na głęb</w:t>
      </w:r>
      <w:r>
        <w:rPr>
          <w:szCs w:val="24"/>
        </w:rPr>
        <w:t>o</w:t>
      </w:r>
      <w:r>
        <w:rPr>
          <w:szCs w:val="24"/>
        </w:rPr>
        <w:t>kości 2,8 ÷ 8,8 m p.p.t. tj. w zakresie rzędnych 104,35 ÷ 106,34 m n.p.m. Przedstawiony p</w:t>
      </w:r>
      <w:r>
        <w:rPr>
          <w:szCs w:val="24"/>
        </w:rPr>
        <w:t>o</w:t>
      </w:r>
      <w:r>
        <w:rPr>
          <w:szCs w:val="24"/>
        </w:rPr>
        <w:t xml:space="preserve">wyżej „obraz” warunków wodnych pochodzi z okresu polowych badań geotechnicznych (czerwiec 2015r.). W zależności od opadów atmosferycznych i wiosennych roztopów poziom lustra wody gruntowej w miejscu badań może ulegać cyklicznym wahaniom, szacunkowo o ok. 0,5 m.   Zgodnie z Rozporządzeniem Ministra Transportu, Budownictwa i Gospodarki Morskiej z dnia 25 kwietnia 2012r. w sprawie ustalania geotechnicznych warunków </w:t>
      </w:r>
      <w:proofErr w:type="spellStart"/>
      <w:r>
        <w:rPr>
          <w:szCs w:val="24"/>
        </w:rPr>
        <w:t>posad</w:t>
      </w:r>
      <w:r>
        <w:rPr>
          <w:szCs w:val="24"/>
        </w:rPr>
        <w:t>a</w:t>
      </w:r>
      <w:r>
        <w:rPr>
          <w:szCs w:val="24"/>
        </w:rPr>
        <w:t>wiania</w:t>
      </w:r>
      <w:proofErr w:type="spellEnd"/>
      <w:r>
        <w:rPr>
          <w:szCs w:val="24"/>
        </w:rPr>
        <w:t xml:space="preserve"> obiektów budowlanych na badanym obszarze występują złożone warunki gruntowo – wodne (wykopy do głębokości 1,20 m p.p.t, woda gruntowa pozawieszana lokalnie powyżej rzędnych posadowienia).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Ze względu na konstrukcję projektowanego budynku (budynek częściowo podpiwniczony) projektowany obiekt należy zaliczyć do I kategorii geotechnicznej. Strefa przemarzania dla rejonu badań zgodnie z PN-81/B-03020 wynosi Hz=1,00 m </w:t>
      </w:r>
      <w:proofErr w:type="spellStart"/>
      <w:r>
        <w:rPr>
          <w:szCs w:val="24"/>
        </w:rPr>
        <w:t>p.p.t</w:t>
      </w:r>
      <w:proofErr w:type="spellEnd"/>
      <w:r>
        <w:rPr>
          <w:szCs w:val="24"/>
        </w:rPr>
        <w:t>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7. INSTALACJE ELEKTRYCZNE I TELETECHNICZNE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Zakres projektowanych instalacji wewnętrznych: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7.1Rozdzielnica główna budynku,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7.2 główny wyłącznik prądu,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7.3 obwody rozdzielcze,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7.4 tablice rozdzielcze,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7.5 instalacja oświetlenie podstawowego,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7.6 instalacja oświetlenia awaryjnego,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7.7 instalacja gniazd wtykowych,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7.8  okablowanie strukturalne,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7.9  instalacja systemu SSP,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7.10 instalacja systemu oddymiania,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7.11 instalacja systemu DSO,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7.12 połączenia wyrównawcze,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7.13 ochrona odgromowa,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7.14 ochrona przeciwprzepięciowa,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7.15 ochrona przeciwporażeniowa.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8. INSTALACJE SANITARNE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Zakres projektowanych instalacji wewnętrznych: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8.1 Instalacja wodociągowa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8.2 Instalacja ppoż.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8.3 Instalacja centralnej ciepłej wody i cyrkulacji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8.4 Instalacje kanalizacji sanitarnej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8.5 Instalacje kanalizacji deszczowej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8.6 Instalacja centralnego ogrzewania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8.7 Węzeł cieplny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8.8 System solarny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8.9 Hydrofornia wody gospodarczej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8.10 Instalacja wody lodowej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8.11 Wentylacja mechaniczna, klimatyzacja, oddymianie</w:t>
      </w:r>
    </w:p>
    <w:p w:rsidR="00C038BC" w:rsidRDefault="00C038BC" w:rsidP="00C038BC">
      <w:pPr>
        <w:spacing w:line="276" w:lineRule="auto"/>
        <w:jc w:val="both"/>
        <w:rPr>
          <w:b/>
          <w:color w:val="FF0000"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9. PRZYSTOSOWANIE BUDYNKU DLA OSÓB NIEPEŁNOSPRAWNYCH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Budynek jest w pełni przystosowany do użytku przez osoby niepełnosprawne. Przy wejściu do budynku zaprojektowano pochylnię dla niepełnosprawnych. Wszystkie kondygnacje o</w:t>
      </w:r>
      <w:r>
        <w:rPr>
          <w:szCs w:val="24"/>
        </w:rPr>
        <w:t>b</w:t>
      </w:r>
      <w:r>
        <w:rPr>
          <w:szCs w:val="24"/>
        </w:rPr>
        <w:t>sługują windy w głównym trzonie komunikacyjnym dostosowane dla osób niepełnospra</w:t>
      </w:r>
      <w:r>
        <w:rPr>
          <w:szCs w:val="24"/>
        </w:rPr>
        <w:t>w</w:t>
      </w:r>
      <w:r>
        <w:rPr>
          <w:szCs w:val="24"/>
        </w:rPr>
        <w:t xml:space="preserve">nych. Przy zespołach sanitarnych przewidziano toalety przystosowane dla osób </w:t>
      </w:r>
      <w:proofErr w:type="spellStart"/>
      <w:r>
        <w:rPr>
          <w:szCs w:val="24"/>
        </w:rPr>
        <w:t>nps</w:t>
      </w:r>
      <w:proofErr w:type="spellEnd"/>
      <w:r>
        <w:rPr>
          <w:szCs w:val="24"/>
        </w:rPr>
        <w:t xml:space="preserve">. W części podziemnej gdzie znajdują się sale wykładowe przewidziano podnośnik wyrównawczy.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10. ODDZIAŁYWANIE NA ŚRODOWISKO</w:t>
      </w:r>
    </w:p>
    <w:p w:rsidR="00C038BC" w:rsidRDefault="00C038BC" w:rsidP="00C038BC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Projektowana inwestycja nie należy do przedsięwzięć mogących znacząco oddziaływać na środowisko.</w:t>
      </w:r>
    </w:p>
    <w:p w:rsidR="00C038BC" w:rsidRDefault="00C038BC" w:rsidP="00C038BC">
      <w:pPr>
        <w:spacing w:line="276" w:lineRule="auto"/>
        <w:ind w:left="708"/>
        <w:rPr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3E1DA6">
      <w:pPr>
        <w:pStyle w:val="Akapitzlist"/>
        <w:numPr>
          <w:ilvl w:val="1"/>
          <w:numId w:val="3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spacing w:line="276" w:lineRule="auto"/>
        <w:rPr>
          <w:b/>
          <w:szCs w:val="24"/>
        </w:rPr>
      </w:pPr>
      <w:r>
        <w:rPr>
          <w:b/>
          <w:szCs w:val="24"/>
        </w:rPr>
        <w:t>11. PARAMETRY TECHNICZNE</w:t>
      </w:r>
    </w:p>
    <w:tbl>
      <w:tblPr>
        <w:tblW w:w="4540" w:type="dxa"/>
        <w:jc w:val="center"/>
        <w:tblCellMar>
          <w:left w:w="70" w:type="dxa"/>
          <w:right w:w="70" w:type="dxa"/>
        </w:tblCellMar>
        <w:tblLook w:val="04A0"/>
      </w:tblPr>
      <w:tblGrid>
        <w:gridCol w:w="3580"/>
        <w:gridCol w:w="960"/>
      </w:tblGrid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8BC" w:rsidRDefault="00C038B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8BC" w:rsidRDefault="00C038BC">
            <w:pPr>
              <w:rPr>
                <w:sz w:val="20"/>
              </w:rPr>
            </w:pP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Powierzchnia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12555,78</w:t>
            </w: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Powierzchnia użytkowa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5439,86</w:t>
            </w: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Powierzchnia pomocnicza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904,28</w:t>
            </w: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Powierzchnia ruchu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5705,08</w:t>
            </w:r>
          </w:p>
        </w:tc>
      </w:tr>
      <w:tr w:rsidR="00C038BC" w:rsidTr="00C038BC">
        <w:trPr>
          <w:trHeight w:val="25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Powierzchnia usługowa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506,56</w:t>
            </w:r>
          </w:p>
        </w:tc>
      </w:tr>
    </w:tbl>
    <w:p w:rsidR="00C038BC" w:rsidRDefault="00C038BC" w:rsidP="00C038BC">
      <w:pPr>
        <w:rPr>
          <w:rFonts w:ascii="Arial" w:hAnsi="Arial" w:cs="Arial"/>
          <w:b/>
          <w:color w:val="FF0000"/>
          <w:sz w:val="18"/>
          <w:szCs w:val="18"/>
        </w:rPr>
      </w:pPr>
    </w:p>
    <w:p w:rsidR="00C038BC" w:rsidRDefault="00C038BC" w:rsidP="00C038BC">
      <w:pPr>
        <w:spacing w:line="276" w:lineRule="auto"/>
        <w:rPr>
          <w:b/>
          <w:szCs w:val="24"/>
        </w:rPr>
      </w:pPr>
      <w:r>
        <w:rPr>
          <w:b/>
          <w:szCs w:val="24"/>
        </w:rPr>
        <w:t>12. INNE WYMAGANIA</w:t>
      </w:r>
    </w:p>
    <w:p w:rsidR="00C038BC" w:rsidRDefault="00C038BC" w:rsidP="00C038BC">
      <w:pPr>
        <w:spacing w:line="276" w:lineRule="auto"/>
        <w:rPr>
          <w:b/>
          <w:color w:val="FF0000"/>
          <w:szCs w:val="24"/>
        </w:rPr>
      </w:pPr>
    </w:p>
    <w:p w:rsidR="00C038BC" w:rsidRDefault="00C038BC" w:rsidP="003E1DA6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Elementy przeznaczone do rozbiórki i demontażu takie jak gruz, papa, obróbki blacha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skie, okna, drzwi Wykonawca zdemontuje i zutylizuje na własny koszt. Zysk ze sprzed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ży (drzwi, okna, złom) Wykonawca winien uwzględnić w przygotowaniu oferty. Dok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menty z utylizacji należy przedstawić wraz z dokumentacja odbiorową.</w:t>
      </w:r>
    </w:p>
    <w:p w:rsidR="00C038BC" w:rsidRDefault="00C038BC" w:rsidP="00C038BC">
      <w:pPr>
        <w:pStyle w:val="Akapitzlist"/>
        <w:numPr>
          <w:ilvl w:val="0"/>
          <w:numId w:val="2"/>
        </w:numPr>
        <w:suppressAutoHyphens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całości realizacji przedmiotu umowy Wykonawca dostarczy ostateczne pozwolenie na użytkowanie przedmiotu umowy.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Roboty budowlane, będące przedmiotem zamówienia, które będą realizowane,  należy wykonywać uwzględniając fakt, że roboty o znacznym natężeniu hałasu, zapyleniu lub uciążliwe będą prowadzone po godzinach pracy w dni robocze lub w dni wolne od pracy - w uzgodnieniu z Zamawiającym. 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Prace należy prowadzić w sposób zapewniający normalne funkcjonowanie pracownikom w sąsiadujących z budową obiektach uczelni, w tym roboty wewnętrzne uciążliwe dla pracy uczelni należy wykonywać poza godzinami pracy oraz w dni wolne. Wszystkie obowiązki Wykonawcy zawarte są w załączonym projekcie umowy – Załącznik nr 9 do SIWZ.</w:t>
      </w:r>
    </w:p>
    <w:p w:rsidR="00C038BC" w:rsidRDefault="00C038BC" w:rsidP="00C038BC">
      <w:pPr>
        <w:pStyle w:val="Akapitzlist"/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Nadmiar ziemi, kamienie i zanieczyszczenia z wykopów należy usunąć poza budowę.  Teren prowadzonych prac (nad wykopem) powinien być zagęszczony z pozostawieniem min. 5-7 cm wierzchniej warstwy na wymianę na ziemię urodzajną.  Po uwałowaniu należy wysiać nasiona, a całość lekko przegrabić w celu zmieszania nasion z ziemią. Następnie teren znów należy uwałować, aby docisnąć nasiona do podłoża.</w:t>
      </w:r>
    </w:p>
    <w:p w:rsidR="00C038BC" w:rsidRDefault="00C038BC" w:rsidP="00C038B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odpowiedniego zabezpieczenia na własny koszt sprzętu pozostawionego w pomieszczeniach. W przypadku nienależytego wykonania zabezpi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czenia sprzętu oraz jego uszkodzenia całkowity koszt jego naprawy ponosi Wykonawca.  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Wszystkie materiały zastosowane do realizacji robót powinny odpowiadać, co do jakości wymogom wyrobów dopuszczonych do obrotu i stosowania w budownictwie, określ</w:t>
      </w:r>
      <w:r>
        <w:rPr>
          <w:szCs w:val="24"/>
        </w:rPr>
        <w:t>o</w:t>
      </w:r>
      <w:r>
        <w:rPr>
          <w:szCs w:val="24"/>
        </w:rPr>
        <w:t>nym w ustawie Prawo budowlane, wymaganiom projektów wykonawczych i przedmi</w:t>
      </w:r>
      <w:r>
        <w:rPr>
          <w:szCs w:val="24"/>
        </w:rPr>
        <w:t>a</w:t>
      </w:r>
      <w:r>
        <w:rPr>
          <w:szCs w:val="24"/>
        </w:rPr>
        <w:t>rów robót oraz wymaganiom specyfikacji istotnych warunków zamówienia. Wskazania oraz inne parametry przedmiotu zamówienia podane przez Zamawiającego są wymag</w:t>
      </w:r>
      <w:r>
        <w:rPr>
          <w:szCs w:val="24"/>
        </w:rPr>
        <w:t>a</w:t>
      </w:r>
      <w:r>
        <w:rPr>
          <w:szCs w:val="24"/>
        </w:rPr>
        <w:t xml:space="preserve">niami </w:t>
      </w:r>
      <w:r>
        <w:rPr>
          <w:szCs w:val="24"/>
          <w:u w:val="single"/>
        </w:rPr>
        <w:t>minimalnymi</w:t>
      </w:r>
      <w:r>
        <w:rPr>
          <w:szCs w:val="24"/>
        </w:rPr>
        <w:t>. Pod pojęciem „parametry” rozumie się funkcjonalność, przeznacz</w:t>
      </w:r>
      <w:r>
        <w:rPr>
          <w:szCs w:val="24"/>
        </w:rPr>
        <w:t>e</w:t>
      </w:r>
      <w:r>
        <w:rPr>
          <w:szCs w:val="24"/>
        </w:rPr>
        <w:t>nie, kolorystykę, strukturę, rodzaj materiału, kształt, wielkość, bezpieczeństwo, wytrz</w:t>
      </w:r>
      <w:r>
        <w:rPr>
          <w:szCs w:val="24"/>
        </w:rPr>
        <w:t>y</w:t>
      </w:r>
      <w:r>
        <w:rPr>
          <w:szCs w:val="24"/>
        </w:rPr>
        <w:t>małość oraz pozostałe parametry przypisane poszczególnym materiałom i urządzeniom w dokumentacji załączonej do SIWZ.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 w:right="-1" w:hanging="426"/>
        <w:jc w:val="both"/>
        <w:rPr>
          <w:szCs w:val="24"/>
        </w:rPr>
      </w:pPr>
      <w:r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>
        <w:rPr>
          <w:szCs w:val="24"/>
        </w:rPr>
        <w:t>a</w:t>
      </w:r>
      <w:r>
        <w:rPr>
          <w:szCs w:val="24"/>
        </w:rPr>
        <w:t>teriałów lub produktów równoważnych jakościowo i funkcjonalnie (o parametrach ró</w:t>
      </w:r>
      <w:r>
        <w:rPr>
          <w:szCs w:val="24"/>
        </w:rPr>
        <w:t>w</w:t>
      </w:r>
      <w:r>
        <w:rPr>
          <w:szCs w:val="24"/>
        </w:rPr>
        <w:t>noważnych lub wyższych). W przypadku zaoferowania materiałów lub produktów ró</w:t>
      </w:r>
      <w:r>
        <w:rPr>
          <w:szCs w:val="24"/>
        </w:rPr>
        <w:t>w</w:t>
      </w:r>
      <w:r>
        <w:rPr>
          <w:szCs w:val="24"/>
        </w:rPr>
        <w:t>noważnych przez Wykonawcę jest on zobowiązany jednoznacznie wykazać, że oferow</w:t>
      </w:r>
      <w:r>
        <w:rPr>
          <w:szCs w:val="24"/>
        </w:rPr>
        <w:t>a</w:t>
      </w:r>
      <w:r>
        <w:rPr>
          <w:szCs w:val="24"/>
        </w:rPr>
        <w:t>ne przez niego równoważne materiały lub produkty spełniają wymagania określone przez Zamawiającego. Wykonawca przed zastosowaniem wyrobu/montażem urządzenia każd</w:t>
      </w:r>
      <w:r>
        <w:rPr>
          <w:szCs w:val="24"/>
        </w:rPr>
        <w:t>o</w:t>
      </w:r>
      <w:r>
        <w:rPr>
          <w:szCs w:val="24"/>
        </w:rPr>
        <w:t>razowo powinien uzyskać akceptację Zamawiającego.</w:t>
      </w:r>
    </w:p>
    <w:p w:rsidR="00C038BC" w:rsidRDefault="00C038BC" w:rsidP="00C038BC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zastosowanych przez Wykonawcę materiałów i urządzeń, Zamawiaj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zastrzega sobie prawo żądania przedstawienia certyfikatów na znak bezpieczeństwa, </w:t>
      </w:r>
      <w:r>
        <w:rPr>
          <w:rFonts w:ascii="Times New Roman" w:hAnsi="Times New Roman" w:cs="Times New Roman"/>
          <w:sz w:val="24"/>
          <w:szCs w:val="24"/>
        </w:rPr>
        <w:lastRenderedPageBreak/>
        <w:t>deklaracji zgodności lub certyfikaty zgodności z obowiązującą normą lub aprobatą tec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niczną oraz karty techniczne materiałów, zaś w odniesieniu do oferowanych urządzeń - świadectw jakości i wymaganych atestów.</w:t>
      </w:r>
    </w:p>
    <w:p w:rsidR="00C038BC" w:rsidRDefault="00C038BC" w:rsidP="00C038BC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right="15" w:hanging="426"/>
        <w:jc w:val="both"/>
      </w:pPr>
      <w:r>
        <w:t>Wykonawca zobowiązany jest do umożliwienia wstępu na teren budowy Zamawiającemu, nadzorowi inwestorskiemu, autorskiemu, koordynatorowi Zamawiającego ds. BHP i innym organom, celem dokonania kontroli oraz udzielania im informacji i pomocy wymaganej przepisami, a także wyznaczenia koordynatora sprawującego nadzór nad bezpieczeństwem i higieną pracy wszystkich pracowników Wykonawcy i Podwykonawców zatrudnionych w tym samym miejscu, oraz przekazania informacji w osobie wyznaczonego koordynatora Zamawiającemu.</w:t>
      </w:r>
    </w:p>
    <w:p w:rsidR="00C038BC" w:rsidRDefault="00C038BC" w:rsidP="00C038BC">
      <w:pPr>
        <w:pStyle w:val="Teksttreci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złożenia </w:t>
      </w:r>
      <w:r>
        <w:rPr>
          <w:rFonts w:ascii="Times New Roman" w:hAnsi="Times New Roman" w:cs="Times New Roman"/>
          <w:sz w:val="24"/>
          <w:szCs w:val="24"/>
          <w:u w:val="single"/>
        </w:rPr>
        <w:t>przed podpisaniem umowy</w:t>
      </w:r>
      <w:r>
        <w:rPr>
          <w:rFonts w:ascii="Times New Roman" w:hAnsi="Times New Roman" w:cs="Times New Roman"/>
          <w:sz w:val="24"/>
          <w:szCs w:val="24"/>
        </w:rPr>
        <w:t xml:space="preserve"> harmonogramu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terminowo-</w:t>
      </w:r>
      <w:r>
        <w:rPr>
          <w:rFonts w:ascii="Times New Roman" w:hAnsi="Times New Roman" w:cs="Times New Roman"/>
          <w:sz w:val="22"/>
          <w:szCs w:val="22"/>
        </w:rPr>
        <w:t>rzeczowo-finansowego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realizacji robót (w układzie miesięcznym) wraz z podaniem: zakresu r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bót (elementów zakończonych), terminu wykonania robót oraz ich ceny. Harmonogram musi uwzględniać postanowienia realizacji przedmiotu umowy zaś wartość robót wykonanych w ostatnim etapie nie może być niższa niż 10% ceny ryczałtowej (ofertowej). </w:t>
      </w:r>
    </w:p>
    <w:p w:rsidR="00C038BC" w:rsidRPr="002D70AD" w:rsidRDefault="00C038BC" w:rsidP="00C038B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426" w:right="15" w:hanging="426"/>
        <w:jc w:val="both"/>
        <w:rPr>
          <w:strike/>
        </w:rPr>
      </w:pPr>
      <w:r>
        <w:rPr>
          <w:sz w:val="22"/>
          <w:szCs w:val="22"/>
        </w:rPr>
        <w:t>Wykonawca zobowiązany jest również do złożenia wraz z ofertą kosztorysu ofertowego</w:t>
      </w:r>
      <w:r>
        <w:t xml:space="preserve"> uproszczonego w wersji papierowej oraz kosztorysu szczegółowego w wersji elektronicznej (ATH) na wskazaną w ofercie kwotę.</w:t>
      </w:r>
    </w:p>
    <w:p w:rsidR="002D70AD" w:rsidRPr="002D70AD" w:rsidRDefault="002D70AD" w:rsidP="002D70AD">
      <w:pPr>
        <w:pStyle w:val="Standard"/>
        <w:tabs>
          <w:tab w:val="left" w:pos="284"/>
        </w:tabs>
        <w:spacing w:line="276" w:lineRule="auto"/>
        <w:ind w:left="426" w:right="15"/>
        <w:jc w:val="both"/>
        <w:rPr>
          <w:strike/>
        </w:rPr>
      </w:pPr>
    </w:p>
    <w:p w:rsidR="002D70AD" w:rsidRPr="005874AE" w:rsidRDefault="002D70AD" w:rsidP="002D70AD">
      <w:pPr>
        <w:pStyle w:val="Standard"/>
        <w:tabs>
          <w:tab w:val="left" w:pos="284"/>
        </w:tabs>
        <w:spacing w:line="276" w:lineRule="auto"/>
        <w:ind w:right="15"/>
        <w:jc w:val="both"/>
        <w:rPr>
          <w:b/>
        </w:rPr>
      </w:pPr>
      <w:r w:rsidRPr="005874AE">
        <w:rPr>
          <w:b/>
        </w:rPr>
        <w:t xml:space="preserve"> DODATKOWE INFORMACJE</w:t>
      </w:r>
    </w:p>
    <w:p w:rsidR="002D70AD" w:rsidRPr="005874AE" w:rsidRDefault="002D70AD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Drzewa podlegające wycince zostały przez Inwestora usunięte</w:t>
      </w:r>
    </w:p>
    <w:p w:rsidR="002D70AD" w:rsidRPr="005874AE" w:rsidRDefault="002D70AD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W ofercie należy ująć wycenę wyposażenia meblowego tylko krzeseł audytoryjnych oraz katedry (sal audytoryjnych)</w:t>
      </w:r>
    </w:p>
    <w:p w:rsidR="002D6066" w:rsidRPr="005874AE" w:rsidRDefault="002D6066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W pomieszczeniach takich jak np. pokój socjalny na poz. -1  nr 1.20E, gdzie są umywalki i zlewozmywaki, należy przyjąć okładzinę z płytek ceramicznych tj.</w:t>
      </w:r>
    </w:p>
    <w:p w:rsidR="002D70AD" w:rsidRPr="005874AE" w:rsidRDefault="002D6066" w:rsidP="005874AE">
      <w:pPr>
        <w:pStyle w:val="Standard"/>
        <w:tabs>
          <w:tab w:val="left" w:pos="284"/>
        </w:tabs>
        <w:spacing w:line="276" w:lineRule="auto"/>
        <w:ind w:left="360" w:right="15"/>
        <w:jc w:val="both"/>
      </w:pPr>
      <w:r w:rsidRPr="005874AE">
        <w:t>fartuchy 140 cm x 90 cm</w:t>
      </w:r>
    </w:p>
    <w:p w:rsidR="002D6066" w:rsidRPr="005874AE" w:rsidRDefault="002D6066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Na widoku elewacji wschodniej, kondygnacja -1 widnieje obszar elewacji bez określonego wykończenia lokalizacja: kondygnacja -1, ściana zewnętrzna w osi: 2/X3-O. – należy przyjąć wykończenie płytką elewacyjną jak reszta elewacji, natomiast narożniki należy przyjąć jako gotowe dla całej elewacji</w:t>
      </w:r>
    </w:p>
    <w:p w:rsidR="002D6066" w:rsidRPr="005874AE" w:rsidRDefault="002D6066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ściany i słupy w garażu należy wykończyć  jako surowy beton białkowany</w:t>
      </w:r>
    </w:p>
    <w:p w:rsidR="002D6066" w:rsidRPr="005874AE" w:rsidRDefault="002D6066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centrali telefonicznej nie należy uwzględnić w zakresie oferty</w:t>
      </w:r>
    </w:p>
    <w:p w:rsidR="002D6066" w:rsidRPr="005874AE" w:rsidRDefault="00255D53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Scenariusza pożarowego oraz m</w:t>
      </w:r>
      <w:r w:rsidR="002D6066" w:rsidRPr="005874AE">
        <w:t xml:space="preserve">atrycy sterowań. nie należy uwzględnić w wycenie </w:t>
      </w:r>
    </w:p>
    <w:p w:rsidR="00255D53" w:rsidRPr="005874AE" w:rsidRDefault="00255D53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Projekt automatyki dostarczą producenci urządzeń.</w:t>
      </w:r>
    </w:p>
    <w:p w:rsidR="00255D53" w:rsidRPr="005874AE" w:rsidRDefault="00255D53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 xml:space="preserve">W sanitariatach gdzie umywalki, miski ustępowe i pisuary są przewidziane  do montażu na ściankach z </w:t>
      </w:r>
      <w:proofErr w:type="spellStart"/>
      <w:r w:rsidRPr="005874AE">
        <w:t>silki</w:t>
      </w:r>
      <w:proofErr w:type="spellEnd"/>
      <w:r w:rsidRPr="005874AE">
        <w:t xml:space="preserve"> gr.12cm, należy zastosować stelaż z profili </w:t>
      </w:r>
      <w:proofErr w:type="spellStart"/>
      <w:r w:rsidRPr="005874AE">
        <w:t>zimnogietych</w:t>
      </w:r>
      <w:proofErr w:type="spellEnd"/>
      <w:r w:rsidRPr="005874AE">
        <w:t xml:space="preserve"> obłożony płytą </w:t>
      </w:r>
      <w:proofErr w:type="spellStart"/>
      <w:r w:rsidRPr="005874AE">
        <w:t>g-k</w:t>
      </w:r>
      <w:proofErr w:type="spellEnd"/>
      <w:r w:rsidRPr="005874AE">
        <w:t xml:space="preserve"> hydro H2</w:t>
      </w:r>
    </w:p>
    <w:p w:rsidR="00255D53" w:rsidRPr="005874AE" w:rsidRDefault="00255D53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 xml:space="preserve">Stropy </w:t>
      </w:r>
      <w:proofErr w:type="spellStart"/>
      <w:r w:rsidRPr="005874AE">
        <w:t>nadziemia</w:t>
      </w:r>
      <w:proofErr w:type="spellEnd"/>
      <w:r w:rsidRPr="005874AE">
        <w:t xml:space="preserve"> budynku należy przyjąć jako stropy żelbetowe zespolone.</w:t>
      </w:r>
    </w:p>
    <w:p w:rsidR="00255D53" w:rsidRPr="005874AE" w:rsidRDefault="00255D53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Urządzenia na dachu należy montować na rozsuwanych stelażach które można dostosować do każdego urządzenia (np. na systemach wsporczych typu BIG FOOT)</w:t>
      </w:r>
    </w:p>
    <w:p w:rsidR="009E5A36" w:rsidRPr="005874AE" w:rsidRDefault="009E5A36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>w sanitariatach należy przewidzieć przegrody między pisuarami jako ścianki typowe ceramiczne</w:t>
      </w:r>
    </w:p>
    <w:p w:rsidR="009E5A36" w:rsidRPr="005874AE" w:rsidRDefault="009E5A36" w:rsidP="005874AE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360" w:right="15"/>
        <w:jc w:val="both"/>
      </w:pPr>
      <w:r w:rsidRPr="005874AE">
        <w:t xml:space="preserve">Ścianki </w:t>
      </w:r>
      <w:proofErr w:type="spellStart"/>
      <w:r w:rsidRPr="005874AE">
        <w:t>giszetowe</w:t>
      </w:r>
      <w:proofErr w:type="spellEnd"/>
      <w:r w:rsidRPr="005874AE">
        <w:t xml:space="preserve"> powinny mogą być wykonane z płyt HPL</w:t>
      </w:r>
    </w:p>
    <w:p w:rsidR="002D6066" w:rsidRPr="005874AE" w:rsidRDefault="00A15B00" w:rsidP="005874AE">
      <w:pPr>
        <w:pStyle w:val="Akapitzlist"/>
        <w:numPr>
          <w:ilvl w:val="0"/>
          <w:numId w:val="5"/>
        </w:num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 xml:space="preserve">Zjazd do garaży - proszę zastosować opornik 20x25 i ustawić na podsypce </w:t>
      </w:r>
      <w:proofErr w:type="spellStart"/>
      <w:r w:rsidRPr="005874AE">
        <w:rPr>
          <w:rFonts w:ascii="Times New Roman" w:hAnsi="Times New Roman"/>
          <w:sz w:val="24"/>
          <w:szCs w:val="24"/>
        </w:rPr>
        <w:t>c-piask</w:t>
      </w:r>
      <w:proofErr w:type="spellEnd"/>
      <w:r w:rsidRPr="005874AE">
        <w:rPr>
          <w:rFonts w:ascii="Times New Roman" w:hAnsi="Times New Roman"/>
          <w:sz w:val="24"/>
          <w:szCs w:val="24"/>
        </w:rPr>
        <w:t xml:space="preserve">. 3 cm </w:t>
      </w:r>
    </w:p>
    <w:p w:rsidR="00A15B00" w:rsidRPr="005874AE" w:rsidRDefault="00A15B00" w:rsidP="005874AE">
      <w:pPr>
        <w:pStyle w:val="Akapitzlist"/>
        <w:numPr>
          <w:ilvl w:val="0"/>
          <w:numId w:val="5"/>
        </w:num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Ścianki aluminiowe  S1* do S15*, S17* oraz S25* z zestawienia na rys. R18 muszą spe</w:t>
      </w:r>
      <w:r w:rsidRPr="005874AE">
        <w:rPr>
          <w:rFonts w:ascii="Times New Roman" w:hAnsi="Times New Roman"/>
          <w:sz w:val="24"/>
          <w:szCs w:val="24"/>
        </w:rPr>
        <w:t>ł</w:t>
      </w:r>
      <w:r w:rsidRPr="005874AE">
        <w:rPr>
          <w:rFonts w:ascii="Times New Roman" w:hAnsi="Times New Roman"/>
          <w:sz w:val="24"/>
          <w:szCs w:val="24"/>
        </w:rPr>
        <w:t>niać klasę odporności ogniowej REI 60 do stropu podwieszanego w systemie alumini</w:t>
      </w:r>
      <w:r w:rsidRPr="005874AE">
        <w:rPr>
          <w:rFonts w:ascii="Times New Roman" w:hAnsi="Times New Roman"/>
          <w:sz w:val="24"/>
          <w:szCs w:val="24"/>
        </w:rPr>
        <w:t>o</w:t>
      </w:r>
      <w:r w:rsidRPr="005874AE">
        <w:rPr>
          <w:rFonts w:ascii="Times New Roman" w:hAnsi="Times New Roman"/>
          <w:sz w:val="24"/>
          <w:szCs w:val="24"/>
        </w:rPr>
        <w:t>wym, powyżej przegroda z płyt GK z wypełnieniem wełną mineralną – REI 60.</w:t>
      </w:r>
    </w:p>
    <w:p w:rsidR="00A15B00" w:rsidRPr="005874AE" w:rsidRDefault="00A15B00" w:rsidP="005874AE">
      <w:pPr>
        <w:pStyle w:val="Akapitzlist"/>
        <w:numPr>
          <w:ilvl w:val="0"/>
          <w:numId w:val="5"/>
        </w:num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lastRenderedPageBreak/>
        <w:t>Szlichty dociskowe w warstwach posadzkowych oraz posadzki przemysłowe należy w</w:t>
      </w:r>
      <w:r w:rsidRPr="005874AE">
        <w:rPr>
          <w:rFonts w:ascii="Times New Roman" w:hAnsi="Times New Roman"/>
          <w:sz w:val="24"/>
          <w:szCs w:val="24"/>
        </w:rPr>
        <w:t>y</w:t>
      </w:r>
      <w:r w:rsidRPr="005874AE">
        <w:rPr>
          <w:rFonts w:ascii="Times New Roman" w:hAnsi="Times New Roman"/>
          <w:sz w:val="24"/>
          <w:szCs w:val="24"/>
        </w:rPr>
        <w:t>konać z beton C20/25 zbrojone siatką zgrzewaną fi 4 mm 10 x 10 cm.</w:t>
      </w:r>
    </w:p>
    <w:p w:rsidR="00A15B00" w:rsidRPr="005874AE" w:rsidRDefault="00A15B00" w:rsidP="005874AE">
      <w:pPr>
        <w:pStyle w:val="Akapitzlist"/>
        <w:numPr>
          <w:ilvl w:val="0"/>
          <w:numId w:val="5"/>
        </w:num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 xml:space="preserve">Podłoga na gruncie w części niepodpiwniczonej - płyta h=20cm, zbrojenie Ø10 co 15 cm krzyżowo dołem i góra, beton C20/25, </w:t>
      </w:r>
    </w:p>
    <w:p w:rsidR="00A15B00" w:rsidRPr="005874AE" w:rsidRDefault="00A15B00" w:rsidP="005874AE">
      <w:pPr>
        <w:pStyle w:val="Akapitzlist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podłoga na gruncie w piwnicy: -15cm płyta betonowa – zbrojenie rozproszone na podsy</w:t>
      </w:r>
      <w:r w:rsidRPr="005874AE">
        <w:rPr>
          <w:rFonts w:ascii="Times New Roman" w:hAnsi="Times New Roman"/>
          <w:sz w:val="24"/>
          <w:szCs w:val="24"/>
        </w:rPr>
        <w:t>p</w:t>
      </w:r>
      <w:r w:rsidRPr="005874AE">
        <w:rPr>
          <w:rFonts w:ascii="Times New Roman" w:hAnsi="Times New Roman"/>
          <w:sz w:val="24"/>
          <w:szCs w:val="24"/>
        </w:rPr>
        <w:t>ce piaskowej zagęszczonej mechanicznie</w:t>
      </w:r>
    </w:p>
    <w:p w:rsidR="00A15B00" w:rsidRPr="005874AE" w:rsidRDefault="00A15B00" w:rsidP="005874AE">
      <w:pPr>
        <w:pStyle w:val="Akapitzlist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 xml:space="preserve">hydroizolacja </w:t>
      </w:r>
    </w:p>
    <w:p w:rsidR="00A15B00" w:rsidRPr="005874AE" w:rsidRDefault="00A15B00" w:rsidP="005874AE">
      <w:pPr>
        <w:pStyle w:val="Akapitzlist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4AE">
        <w:rPr>
          <w:rFonts w:ascii="Times New Roman" w:hAnsi="Times New Roman"/>
          <w:sz w:val="24"/>
          <w:szCs w:val="24"/>
        </w:rPr>
        <w:t>styrodur</w:t>
      </w:r>
      <w:proofErr w:type="spellEnd"/>
    </w:p>
    <w:p w:rsidR="00A15B00" w:rsidRPr="005874AE" w:rsidRDefault="00A15B00" w:rsidP="005874AE">
      <w:pPr>
        <w:pStyle w:val="Akapitzlist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folia PE</w:t>
      </w:r>
    </w:p>
    <w:p w:rsidR="00A15B00" w:rsidRPr="005874AE" w:rsidRDefault="00A15B00" w:rsidP="005874AE">
      <w:pPr>
        <w:pStyle w:val="Akapitzlist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płyta betonowa zbrojona siatką fi 6mm 10x10cm</w:t>
      </w:r>
    </w:p>
    <w:p w:rsidR="00A15B00" w:rsidRPr="005874AE" w:rsidRDefault="00A15B00" w:rsidP="005874AE">
      <w:pPr>
        <w:pStyle w:val="Akapitzlist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posadzka</w:t>
      </w:r>
    </w:p>
    <w:p w:rsidR="00A15B00" w:rsidRPr="005874AE" w:rsidRDefault="00913725" w:rsidP="005874AE">
      <w:pPr>
        <w:pStyle w:val="Akapitzlist"/>
        <w:numPr>
          <w:ilvl w:val="0"/>
          <w:numId w:val="5"/>
        </w:num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Należy uwzględnić wyposażenie obiektu w sprzęt przeciwpożarowy (gaśnice) oraz ozn</w:t>
      </w:r>
      <w:r w:rsidRPr="005874AE">
        <w:rPr>
          <w:rFonts w:ascii="Times New Roman" w:hAnsi="Times New Roman"/>
          <w:sz w:val="24"/>
          <w:szCs w:val="24"/>
        </w:rPr>
        <w:t>a</w:t>
      </w:r>
      <w:r w:rsidRPr="005874AE">
        <w:rPr>
          <w:rFonts w:ascii="Times New Roman" w:hAnsi="Times New Roman"/>
          <w:sz w:val="24"/>
          <w:szCs w:val="24"/>
        </w:rPr>
        <w:t>czenia ewakuacyjne zgodnie z opisem „Aneks przeciwpożarowy”</w:t>
      </w:r>
    </w:p>
    <w:p w:rsidR="00913725" w:rsidRPr="005874AE" w:rsidRDefault="00913725" w:rsidP="005874AE">
      <w:pPr>
        <w:pStyle w:val="Akapitzlist"/>
        <w:numPr>
          <w:ilvl w:val="0"/>
          <w:numId w:val="5"/>
        </w:num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5874AE">
        <w:rPr>
          <w:rFonts w:ascii="Times New Roman" w:hAnsi="Times New Roman"/>
          <w:sz w:val="24"/>
          <w:szCs w:val="24"/>
        </w:rPr>
        <w:t>Zamawiający dopuszcza wykonanie sufitów podwieszanych w innym systemie niż zapr</w:t>
      </w:r>
      <w:r w:rsidRPr="005874AE">
        <w:rPr>
          <w:rFonts w:ascii="Times New Roman" w:hAnsi="Times New Roman"/>
          <w:sz w:val="24"/>
          <w:szCs w:val="24"/>
        </w:rPr>
        <w:t>o</w:t>
      </w:r>
      <w:r w:rsidRPr="005874AE">
        <w:rPr>
          <w:rFonts w:ascii="Times New Roman" w:hAnsi="Times New Roman"/>
          <w:sz w:val="24"/>
          <w:szCs w:val="24"/>
        </w:rPr>
        <w:t>jektowany. Wykonawca w zależności od zaproponowanego sufitu musi dobrać zawiesia do lamp.</w:t>
      </w:r>
    </w:p>
    <w:p w:rsidR="00913725" w:rsidRPr="005874AE" w:rsidRDefault="00913725" w:rsidP="005874AE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bCs/>
          <w:szCs w:val="24"/>
        </w:rPr>
      </w:pPr>
      <w:r w:rsidRPr="005874AE">
        <w:rPr>
          <w:rFonts w:ascii="Times New Roman" w:hAnsi="Times New Roman"/>
          <w:szCs w:val="24"/>
        </w:rPr>
        <w:t>Zestawienie wyposażenia toalet: lustro – 85 sztuk, kosz 12l – 30 sztuk, kosz 3l – 44 sztuki, p</w:t>
      </w:r>
      <w:r w:rsidRPr="005874AE">
        <w:rPr>
          <w:rFonts w:ascii="Times New Roman" w:hAnsi="Times New Roman"/>
          <w:szCs w:val="24"/>
        </w:rPr>
        <w:t>o</w:t>
      </w:r>
      <w:r w:rsidRPr="005874AE">
        <w:rPr>
          <w:rFonts w:ascii="Times New Roman" w:hAnsi="Times New Roman"/>
          <w:szCs w:val="24"/>
        </w:rPr>
        <w:t xml:space="preserve">jemnik na papier toaletowy – 77 sztuk, </w:t>
      </w:r>
      <w:r w:rsidRPr="005874AE">
        <w:rPr>
          <w:rFonts w:ascii="Times New Roman" w:hAnsi="Times New Roman"/>
          <w:bCs/>
          <w:szCs w:val="24"/>
        </w:rPr>
        <w:t xml:space="preserve">szczotka do </w:t>
      </w:r>
      <w:proofErr w:type="spellStart"/>
      <w:r w:rsidRPr="005874AE">
        <w:rPr>
          <w:rFonts w:ascii="Times New Roman" w:hAnsi="Times New Roman"/>
          <w:bCs/>
          <w:szCs w:val="24"/>
        </w:rPr>
        <w:t>wc</w:t>
      </w:r>
      <w:proofErr w:type="spellEnd"/>
      <w:r w:rsidRPr="005874AE">
        <w:rPr>
          <w:rFonts w:ascii="Times New Roman" w:hAnsi="Times New Roman"/>
          <w:bCs/>
          <w:szCs w:val="24"/>
        </w:rPr>
        <w:t xml:space="preserve"> – 77 sztuk, dozownik do mydła- 85 sztuk, suszarka do rąk – 35 sztuk, pojemnik na ręczniki papierowe – 35 sztuk</w:t>
      </w:r>
    </w:p>
    <w:p w:rsidR="00913725" w:rsidRPr="005874AE" w:rsidRDefault="00913725" w:rsidP="005874AE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bCs/>
          <w:szCs w:val="24"/>
        </w:rPr>
      </w:pPr>
      <w:r w:rsidRPr="005874AE">
        <w:rPr>
          <w:rFonts w:ascii="Times New Roman" w:hAnsi="Times New Roman"/>
          <w:bCs/>
          <w:szCs w:val="24"/>
        </w:rPr>
        <w:t>oferta nie ma uwzględniać kosztów wykonania inf</w:t>
      </w:r>
      <w:r w:rsidR="00A0137D" w:rsidRPr="005874AE">
        <w:rPr>
          <w:rFonts w:ascii="Times New Roman" w:hAnsi="Times New Roman"/>
          <w:bCs/>
          <w:szCs w:val="24"/>
        </w:rPr>
        <w:t xml:space="preserve">ormacji wizualnej, </w:t>
      </w:r>
      <w:proofErr w:type="spellStart"/>
      <w:r w:rsidR="00A0137D" w:rsidRPr="005874AE">
        <w:rPr>
          <w:rFonts w:ascii="Times New Roman" w:hAnsi="Times New Roman"/>
          <w:bCs/>
          <w:szCs w:val="24"/>
        </w:rPr>
        <w:t>loga</w:t>
      </w:r>
      <w:proofErr w:type="spellEnd"/>
      <w:r w:rsidR="00A0137D" w:rsidRPr="005874AE">
        <w:rPr>
          <w:rFonts w:ascii="Times New Roman" w:hAnsi="Times New Roman"/>
          <w:bCs/>
          <w:szCs w:val="24"/>
        </w:rPr>
        <w:t xml:space="preserve"> uczelni, </w:t>
      </w:r>
      <w:proofErr w:type="spellStart"/>
      <w:r w:rsidR="00A0137D" w:rsidRPr="005874AE">
        <w:rPr>
          <w:rFonts w:ascii="Times New Roman" w:hAnsi="Times New Roman"/>
          <w:bCs/>
          <w:szCs w:val="24"/>
        </w:rPr>
        <w:t>podkonstrukcji</w:t>
      </w:r>
      <w:proofErr w:type="spellEnd"/>
      <w:r w:rsidR="00A0137D" w:rsidRPr="005874AE">
        <w:rPr>
          <w:rFonts w:ascii="Times New Roman" w:hAnsi="Times New Roman"/>
          <w:bCs/>
          <w:szCs w:val="24"/>
        </w:rPr>
        <w:t xml:space="preserve"> pod pnącza oraz pnączy</w:t>
      </w:r>
    </w:p>
    <w:p w:rsidR="00A0137D" w:rsidRPr="005874AE" w:rsidRDefault="00A0137D" w:rsidP="005874AE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bCs/>
          <w:szCs w:val="24"/>
        </w:rPr>
      </w:pPr>
      <w:r w:rsidRPr="005874AE">
        <w:rPr>
          <w:rFonts w:ascii="Times New Roman" w:hAnsi="Times New Roman"/>
          <w:bCs/>
          <w:szCs w:val="24"/>
        </w:rPr>
        <w:t xml:space="preserve">Konstrukcje okienne: O1*,O3*,O4*,O5*,O6*,O7* zostały zaprojektowane jako okna uchylno - </w:t>
      </w:r>
      <w:proofErr w:type="spellStart"/>
      <w:r w:rsidRPr="005874AE">
        <w:rPr>
          <w:rFonts w:ascii="Times New Roman" w:hAnsi="Times New Roman"/>
          <w:bCs/>
          <w:szCs w:val="24"/>
        </w:rPr>
        <w:t>rozwierne</w:t>
      </w:r>
      <w:proofErr w:type="spellEnd"/>
      <w:r w:rsidRPr="005874AE">
        <w:rPr>
          <w:rFonts w:ascii="Times New Roman" w:hAnsi="Times New Roman"/>
          <w:bCs/>
          <w:szCs w:val="24"/>
        </w:rPr>
        <w:t xml:space="preserve"> o odporności ogniowej EI60. Zamawiający dopuszcza wykonanie jako:  O3* - okno n</w:t>
      </w:r>
      <w:r w:rsidRPr="005874AE">
        <w:rPr>
          <w:rFonts w:ascii="Times New Roman" w:hAnsi="Times New Roman"/>
          <w:bCs/>
          <w:szCs w:val="24"/>
        </w:rPr>
        <w:t>a</w:t>
      </w:r>
      <w:r w:rsidRPr="005874AE">
        <w:rPr>
          <w:rFonts w:ascii="Times New Roman" w:hAnsi="Times New Roman"/>
          <w:bCs/>
          <w:szCs w:val="24"/>
        </w:rPr>
        <w:t>powietrzające klatkę schodową, musi być otwierane. Pozostałe okna ppoż. przyjąć jako stałe</w:t>
      </w:r>
    </w:p>
    <w:p w:rsidR="00A0137D" w:rsidRPr="005874AE" w:rsidRDefault="00A0137D" w:rsidP="005874AE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bCs/>
          <w:szCs w:val="24"/>
        </w:rPr>
      </w:pPr>
      <w:r w:rsidRPr="005874AE">
        <w:rPr>
          <w:rFonts w:ascii="Times New Roman" w:hAnsi="Times New Roman"/>
          <w:bCs/>
          <w:szCs w:val="24"/>
        </w:rPr>
        <w:t xml:space="preserve">obróbki blacharskie należy wykonać z blachy </w:t>
      </w:r>
      <w:bookmarkStart w:id="0" w:name="_GoBack"/>
      <w:bookmarkEnd w:id="0"/>
      <w:r w:rsidRPr="005874AE">
        <w:rPr>
          <w:rFonts w:ascii="Times New Roman" w:hAnsi="Times New Roman"/>
          <w:bCs/>
          <w:szCs w:val="24"/>
        </w:rPr>
        <w:t>tytan-cynk</w:t>
      </w:r>
    </w:p>
    <w:p w:rsidR="00913725" w:rsidRPr="00913725" w:rsidRDefault="00913725" w:rsidP="00A0137D">
      <w:pPr>
        <w:pStyle w:val="Akapitzlist"/>
        <w:ind w:left="1070"/>
        <w:rPr>
          <w:bCs/>
          <w:color w:val="FF0000"/>
          <w:szCs w:val="24"/>
        </w:rPr>
      </w:pPr>
    </w:p>
    <w:p w:rsidR="00346EDB" w:rsidRDefault="00346EDB" w:rsidP="00E2430D">
      <w:pPr>
        <w:pStyle w:val="Standard"/>
        <w:tabs>
          <w:tab w:val="left" w:pos="284"/>
        </w:tabs>
        <w:spacing w:line="276" w:lineRule="auto"/>
        <w:ind w:right="15"/>
        <w:jc w:val="both"/>
        <w:rPr>
          <w:b/>
        </w:rPr>
      </w:pPr>
    </w:p>
    <w:p w:rsidR="006F7933" w:rsidRPr="00B27442" w:rsidRDefault="006F7933" w:rsidP="006F7933">
      <w:pPr>
        <w:jc w:val="both"/>
        <w:rPr>
          <w:sz w:val="23"/>
          <w:szCs w:val="23"/>
        </w:rPr>
      </w:pPr>
    </w:p>
    <w:p w:rsidR="006931C0" w:rsidRDefault="006931C0" w:rsidP="006F7933">
      <w:pPr>
        <w:jc w:val="both"/>
        <w:rPr>
          <w:b/>
          <w:i/>
        </w:rPr>
      </w:pPr>
      <w:r>
        <w:rPr>
          <w:b/>
          <w:i/>
        </w:rPr>
        <w:br/>
      </w:r>
    </w:p>
    <w:p w:rsidR="006F7933" w:rsidRPr="003D2EA3" w:rsidRDefault="006F7933" w:rsidP="006F7933">
      <w:pPr>
        <w:jc w:val="both"/>
        <w:rPr>
          <w:b/>
          <w:i/>
        </w:rPr>
      </w:pPr>
      <w:r w:rsidRPr="003D2EA3">
        <w:rPr>
          <w:b/>
          <w:i/>
        </w:rPr>
        <w:t>Sporządził:  mgr inż. Grzegorz Zamyślewski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41" w:rsidRDefault="00DF3841">
      <w:r>
        <w:separator/>
      </w:r>
    </w:p>
  </w:endnote>
  <w:endnote w:type="continuationSeparator" w:id="0">
    <w:p w:rsidR="00DF3841" w:rsidRDefault="00DF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24F5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41" w:rsidRDefault="00DF3841">
      <w:r>
        <w:separator/>
      </w:r>
    </w:p>
  </w:footnote>
  <w:footnote w:type="continuationSeparator" w:id="0">
    <w:p w:rsidR="00DF3841" w:rsidRDefault="00DF3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EB8"/>
    <w:multiLevelType w:val="hybridMultilevel"/>
    <w:tmpl w:val="740A301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5D96107"/>
    <w:multiLevelType w:val="multilevel"/>
    <w:tmpl w:val="94B21E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9C6B56"/>
    <w:multiLevelType w:val="multilevel"/>
    <w:tmpl w:val="94B21E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4">
    <w:nsid w:val="759358DE"/>
    <w:multiLevelType w:val="multilevel"/>
    <w:tmpl w:val="00CE5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565"/>
    <w:rsid w:val="00010AEA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BA8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39CD"/>
    <w:rsid w:val="00141854"/>
    <w:rsid w:val="001533B7"/>
    <w:rsid w:val="00153B0B"/>
    <w:rsid w:val="0015778A"/>
    <w:rsid w:val="00167760"/>
    <w:rsid w:val="00172263"/>
    <w:rsid w:val="00173011"/>
    <w:rsid w:val="00175154"/>
    <w:rsid w:val="00177229"/>
    <w:rsid w:val="001804E4"/>
    <w:rsid w:val="00181C05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2E42"/>
    <w:rsid w:val="001F7B65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5D53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066"/>
    <w:rsid w:val="002D6878"/>
    <w:rsid w:val="002D6AFA"/>
    <w:rsid w:val="002D70AD"/>
    <w:rsid w:val="002E7663"/>
    <w:rsid w:val="002F3492"/>
    <w:rsid w:val="002F66B6"/>
    <w:rsid w:val="00300D75"/>
    <w:rsid w:val="003020D8"/>
    <w:rsid w:val="00312292"/>
    <w:rsid w:val="0032078D"/>
    <w:rsid w:val="0032128A"/>
    <w:rsid w:val="00321416"/>
    <w:rsid w:val="003304E0"/>
    <w:rsid w:val="003358AF"/>
    <w:rsid w:val="00340203"/>
    <w:rsid w:val="00346BC4"/>
    <w:rsid w:val="00346EDB"/>
    <w:rsid w:val="0034716E"/>
    <w:rsid w:val="00352861"/>
    <w:rsid w:val="00367DDA"/>
    <w:rsid w:val="00370486"/>
    <w:rsid w:val="003708CB"/>
    <w:rsid w:val="00377422"/>
    <w:rsid w:val="00380803"/>
    <w:rsid w:val="0038201D"/>
    <w:rsid w:val="00386450"/>
    <w:rsid w:val="00386D11"/>
    <w:rsid w:val="003901EF"/>
    <w:rsid w:val="003903D5"/>
    <w:rsid w:val="00391C53"/>
    <w:rsid w:val="003A1FD4"/>
    <w:rsid w:val="003A23CB"/>
    <w:rsid w:val="003A591F"/>
    <w:rsid w:val="003A7C78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1DA6"/>
    <w:rsid w:val="003E7392"/>
    <w:rsid w:val="003E7A80"/>
    <w:rsid w:val="003F0897"/>
    <w:rsid w:val="00402AA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4F59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C7449"/>
    <w:rsid w:val="004D091D"/>
    <w:rsid w:val="004D1B4B"/>
    <w:rsid w:val="004D37B4"/>
    <w:rsid w:val="004E79AB"/>
    <w:rsid w:val="004F15C5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6A76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1C4D"/>
    <w:rsid w:val="005823CB"/>
    <w:rsid w:val="00584D7E"/>
    <w:rsid w:val="00585095"/>
    <w:rsid w:val="005874AE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3911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1C5F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31C0"/>
    <w:rsid w:val="006945B0"/>
    <w:rsid w:val="00697AB8"/>
    <w:rsid w:val="006A2153"/>
    <w:rsid w:val="006A5FF4"/>
    <w:rsid w:val="006B3F70"/>
    <w:rsid w:val="006B5B9D"/>
    <w:rsid w:val="006B7C49"/>
    <w:rsid w:val="006C2F86"/>
    <w:rsid w:val="006C2FA9"/>
    <w:rsid w:val="006D7A8B"/>
    <w:rsid w:val="006E0013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7933"/>
    <w:rsid w:val="007015F8"/>
    <w:rsid w:val="00702EE9"/>
    <w:rsid w:val="00707018"/>
    <w:rsid w:val="00707D6E"/>
    <w:rsid w:val="0071122F"/>
    <w:rsid w:val="00712412"/>
    <w:rsid w:val="00715C7C"/>
    <w:rsid w:val="00725AC9"/>
    <w:rsid w:val="00725CE4"/>
    <w:rsid w:val="007300F9"/>
    <w:rsid w:val="007319FA"/>
    <w:rsid w:val="00733BE9"/>
    <w:rsid w:val="00733D70"/>
    <w:rsid w:val="00734C1D"/>
    <w:rsid w:val="007352D8"/>
    <w:rsid w:val="007356D1"/>
    <w:rsid w:val="007366E0"/>
    <w:rsid w:val="00736910"/>
    <w:rsid w:val="00740D8F"/>
    <w:rsid w:val="007435A4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547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4048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05329"/>
    <w:rsid w:val="00912045"/>
    <w:rsid w:val="00912057"/>
    <w:rsid w:val="00913725"/>
    <w:rsid w:val="009151B1"/>
    <w:rsid w:val="00920115"/>
    <w:rsid w:val="00923DF2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4091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A36"/>
    <w:rsid w:val="009E62ED"/>
    <w:rsid w:val="009F1BEE"/>
    <w:rsid w:val="009F2CBC"/>
    <w:rsid w:val="009F4B5D"/>
    <w:rsid w:val="009F61C1"/>
    <w:rsid w:val="009F7892"/>
    <w:rsid w:val="00A0137D"/>
    <w:rsid w:val="00A01E8C"/>
    <w:rsid w:val="00A02941"/>
    <w:rsid w:val="00A03D7E"/>
    <w:rsid w:val="00A04420"/>
    <w:rsid w:val="00A06F0D"/>
    <w:rsid w:val="00A10ABA"/>
    <w:rsid w:val="00A10B98"/>
    <w:rsid w:val="00A1418B"/>
    <w:rsid w:val="00A14205"/>
    <w:rsid w:val="00A15B00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0C8C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7965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A5201"/>
    <w:rsid w:val="00BB2DD4"/>
    <w:rsid w:val="00BB5801"/>
    <w:rsid w:val="00BB6A4B"/>
    <w:rsid w:val="00BC1C7B"/>
    <w:rsid w:val="00BC3AB8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038BC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75AF0"/>
    <w:rsid w:val="00C80433"/>
    <w:rsid w:val="00C8440A"/>
    <w:rsid w:val="00C8598E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207F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2BE7"/>
    <w:rsid w:val="00DC30DA"/>
    <w:rsid w:val="00DC35E6"/>
    <w:rsid w:val="00DC36CF"/>
    <w:rsid w:val="00DC6498"/>
    <w:rsid w:val="00DC682C"/>
    <w:rsid w:val="00DD0207"/>
    <w:rsid w:val="00DD0D3C"/>
    <w:rsid w:val="00DD0F6B"/>
    <w:rsid w:val="00DD229B"/>
    <w:rsid w:val="00DD523A"/>
    <w:rsid w:val="00DE4A68"/>
    <w:rsid w:val="00DE4B7C"/>
    <w:rsid w:val="00DE5C43"/>
    <w:rsid w:val="00DF014E"/>
    <w:rsid w:val="00DF01C9"/>
    <w:rsid w:val="00DF0798"/>
    <w:rsid w:val="00DF3841"/>
    <w:rsid w:val="00DF452A"/>
    <w:rsid w:val="00E02274"/>
    <w:rsid w:val="00E11F09"/>
    <w:rsid w:val="00E12489"/>
    <w:rsid w:val="00E14C8B"/>
    <w:rsid w:val="00E21BD1"/>
    <w:rsid w:val="00E2430D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C7CBD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6F79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5199-FA43-4585-8569-4502403A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2952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10</cp:revision>
  <cp:lastPrinted>2019-12-12T07:27:00Z</cp:lastPrinted>
  <dcterms:created xsi:type="dcterms:W3CDTF">2019-07-04T10:06:00Z</dcterms:created>
  <dcterms:modified xsi:type="dcterms:W3CDTF">2019-12-12T07:27:00Z</dcterms:modified>
</cp:coreProperties>
</file>