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0"/>
        <w:gridCol w:w="420"/>
        <w:gridCol w:w="6240"/>
        <w:gridCol w:w="122"/>
        <w:gridCol w:w="1579"/>
      </w:tblGrid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 w:colFirst="1" w:colLast="1"/>
            <w:r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Wymagania bezwzględne dla  odczynników do aparatu Real-Time Quant Studio 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Należy potwierdzić</w:t>
            </w:r>
          </w:p>
          <w:p w:rsidR="007940FD" w:rsidRDefault="0079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79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TAK / NIE</w:t>
            </w: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Zestaw do typowania alleli układu HLA klasy I i klasy II metodą qPCR.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 w:rsidP="0079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Metoda oznaczania: amplifikacja SSP w połączeniu z analizą krzywej topnienia produktu amplifikacji z wykorzystaniem barwnika SYBR Green.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 w:rsidP="0079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Zestaw do oznacznia alleli następujących 11 loci: A, B, C, DRB1, DRB345, DQA1, DQB1, DPA1, DPB1 z certyfikatem IVD.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 w:rsidP="0079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Zestaw kopatybilny i zwalidowany z aparatem Quant Studio 6 będącym na wyposażeniu Zamawiającego.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Zawartość zestawu: płytki reakcyjne zawierajaće 384 próbki reakcjne z liofilizowanymi specyficznymi dla alleli HLA primerami, Master Mix zawierający nukleotydy, bufor do PCR, Polimeraza Taq, oraz adhezyjne filmy optyczne do zamykania płytek PCR.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79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Format testu: 1 płytka reakcyjna zawierająca 384 probówki reakcyjne - na oznaczenie HLA (oznaczanie loci jak wyżej) dla 1 próbki badanej.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33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Zestaw umożliwia uzyskanie rozdzielczość typowania: medium resolution.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Zestaw wykrywa wszystkie allele typu null (bez ekspresji) wg nomeklatury IMGT.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Wymagana ilość DNA: 3700 ng na oznaczenie, tj. na płytkę reakcyjną 384 (tj. 1 próbkę badaną).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61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Wymagana czystość DNA określona współczynnikiem absorbancji: A260/A280 uzyskany przy użyciu spektrofotometrów UV powinien mieścić się w zakresie 1.6-2.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Czas wykonania oznaczenia: od nastawienia reakcji do uzyskania wyniku HLA: poniżej 80 minut.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Zawartość opakowania: 10 typowań.</w:t>
            </w:r>
          </w:p>
        </w:tc>
        <w:tc>
          <w:tcPr>
            <w:tcW w:w="1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Warunki przechowywania w przedziale od -20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 do temperatury pokojowej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Termin ważności minimum 6 miesięcy od daty dostarczenia do Zamawiającego.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Oprogramowanie do analizy HLA kompatybilne z wynikiem eksportowanym w formacie txt.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Analiza automatyczna, z możliwością manualnej edycji wyniku.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Wynik uzyskany zarówno w formacie zapisu genotypowego, jak i fenotypowego (odpowiednika serologicznego) - w przypadku gdy taki jest stosowany, a w przypadku DP oprócz zapisu genotypowego również zapis epitypowy jest wymagany.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64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Możliwość uzyskania i instalacji plików z nową nomenklaturą IMGT w trybie on-line oraz automatycznie powiadomienia o dostępności nowych plików.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33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Oprogramowanie zapewniające identyfikowalność oraz rejestrację wszelkich czynności: użytkownika, wprowadzenia przez danego użytkownika danych do analizy, wszelkich dokonywanych edycji oraz zastosowanej wersji nomenklatury IMGT.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76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Oprogramowanie musi zapewniać pełną identyfikowalność użytego zestawu, lotu produkcyjnego, oraz poszczególnych płytek reakcyjnych - każda musi być wyposażona w indywidualny znacznik rejestrowany i przypisany do uzyskanego wyniku i danych próbki badanej.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73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Wsparcie techniczne dla oprogramowania i odczynników w ramach trwania umowy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Aktualizacja bazy alleli.</w:t>
            </w:r>
          </w:p>
        </w:tc>
        <w:tc>
          <w:tcPr>
            <w:tcW w:w="1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7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Materiały zużywalne</w:t>
            </w:r>
          </w:p>
        </w:tc>
        <w:tc>
          <w:tcPr>
            <w:tcW w:w="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Tipsy pojemności 200 µl odpowiednie do badań Real Time PCR i  do 12-kanałowego elektronicznego dozownika  bedącego własnością zamawiającego umożliwiającego pracę na bloku/płytach w formacie 384 dołkowym.   960 testów w opakowaniu.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Rezerwuary pojemności 25 ml do dozownika 12 kanałowego. 100 sztuk w opakowaniu.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Dodatkowe folie optyczne do reakcji Real Time PCR dedykowane do proponowanego zestawy HLA - 10 sztuk w opakowaniu.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285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31A2" w:rsidTr="00440CA1">
        <w:trPr>
          <w:trHeight w:val="4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Aplikator foli imożliwiający zaklejanie folli optycznych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C31A2" w:rsidTr="00440CA1">
        <w:trPr>
          <w:trHeight w:val="67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6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Stojak usprawniajacy pracę z oferowanym zestawem odczynnikowy-, kolor czarny, miejsce dla pipetowania płytki 384  po kątem, odpowiednie otwory kompatybilne z reagentami z zestawu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4C31A2" w:rsidRDefault="004C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bookmarkEnd w:id="0"/>
    </w:tbl>
    <w:p w:rsidR="00703CAB" w:rsidRDefault="007C32BE"/>
    <w:sectPr w:rsidR="00703CAB" w:rsidSect="003767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BE" w:rsidRDefault="007C32BE" w:rsidP="00440CA1">
      <w:pPr>
        <w:spacing w:after="0" w:line="240" w:lineRule="auto"/>
      </w:pPr>
      <w:r>
        <w:separator/>
      </w:r>
    </w:p>
  </w:endnote>
  <w:endnote w:type="continuationSeparator" w:id="1">
    <w:p w:rsidR="007C32BE" w:rsidRDefault="007C32BE" w:rsidP="0044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BE" w:rsidRDefault="007C32BE" w:rsidP="00440CA1">
      <w:pPr>
        <w:spacing w:after="0" w:line="240" w:lineRule="auto"/>
      </w:pPr>
      <w:r>
        <w:separator/>
      </w:r>
    </w:p>
  </w:footnote>
  <w:footnote w:type="continuationSeparator" w:id="1">
    <w:p w:rsidR="007C32BE" w:rsidRDefault="007C32BE" w:rsidP="0044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A1" w:rsidRPr="00440CA1" w:rsidRDefault="00440CA1" w:rsidP="00440CA1">
    <w:pPr>
      <w:pStyle w:val="Nagwek"/>
      <w:jc w:val="center"/>
      <w:rPr>
        <w:b/>
      </w:rPr>
    </w:pPr>
    <w:r w:rsidRPr="00440CA1">
      <w:rPr>
        <w:b/>
      </w:rPr>
      <w:t>OPIS PRZEDMIOTU ZAMÓWIENIA</w:t>
    </w:r>
  </w:p>
  <w:p w:rsidR="00440CA1" w:rsidRDefault="00440CA1" w:rsidP="00440CA1">
    <w:pPr>
      <w:pStyle w:val="Nagwek"/>
      <w:jc w:val="center"/>
      <w:rPr>
        <w:sz w:val="20"/>
        <w:szCs w:val="20"/>
      </w:rPr>
    </w:pPr>
    <w:r w:rsidRPr="00440CA1">
      <w:rPr>
        <w:sz w:val="20"/>
        <w:szCs w:val="20"/>
      </w:rPr>
      <w:t xml:space="preserve">STANOWIĄCY PODSTAWĘ DO POTWIERDZENIA </w:t>
    </w:r>
    <w:r>
      <w:rPr>
        <w:sz w:val="20"/>
        <w:szCs w:val="20"/>
      </w:rPr>
      <w:t xml:space="preserve">ŻE </w:t>
    </w:r>
    <w:r w:rsidRPr="00440CA1">
      <w:rPr>
        <w:sz w:val="20"/>
        <w:szCs w:val="20"/>
      </w:rPr>
      <w:t>OFEROWANE WYROBY SPEŁNIANIA</w:t>
    </w:r>
    <w:r>
      <w:rPr>
        <w:sz w:val="20"/>
        <w:szCs w:val="20"/>
      </w:rPr>
      <w:t xml:space="preserve">JĄ </w:t>
    </w:r>
    <w:r w:rsidRPr="00440CA1">
      <w:rPr>
        <w:sz w:val="20"/>
        <w:szCs w:val="20"/>
      </w:rPr>
      <w:t xml:space="preserve"> WARUNK</w:t>
    </w:r>
    <w:r>
      <w:rPr>
        <w:sz w:val="20"/>
        <w:szCs w:val="20"/>
      </w:rPr>
      <w:t>I</w:t>
    </w:r>
    <w:r w:rsidRPr="00440CA1">
      <w:rPr>
        <w:sz w:val="20"/>
        <w:szCs w:val="20"/>
      </w:rPr>
      <w:t xml:space="preserve"> OKREŚLON</w:t>
    </w:r>
    <w:r>
      <w:rPr>
        <w:sz w:val="20"/>
        <w:szCs w:val="20"/>
      </w:rPr>
      <w:t>E</w:t>
    </w:r>
    <w:r w:rsidRPr="00440CA1">
      <w:rPr>
        <w:sz w:val="20"/>
        <w:szCs w:val="20"/>
      </w:rPr>
      <w:t xml:space="preserve"> PRZEZ ZAMAWIAJĄCEGO</w:t>
    </w:r>
  </w:p>
  <w:p w:rsidR="00440CA1" w:rsidRPr="00440CA1" w:rsidRDefault="00440CA1" w:rsidP="00440CA1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1A2"/>
    <w:rsid w:val="0037673E"/>
    <w:rsid w:val="00440CA1"/>
    <w:rsid w:val="004B50DF"/>
    <w:rsid w:val="004C31A2"/>
    <w:rsid w:val="007940FD"/>
    <w:rsid w:val="007C32BE"/>
    <w:rsid w:val="00C77417"/>
    <w:rsid w:val="00CF37CC"/>
    <w:rsid w:val="00DA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0CA1"/>
  </w:style>
  <w:style w:type="paragraph" w:styleId="Stopka">
    <w:name w:val="footer"/>
    <w:basedOn w:val="Normalny"/>
    <w:link w:val="StopkaZnak"/>
    <w:uiPriority w:val="99"/>
    <w:semiHidden/>
    <w:unhideWhenUsed/>
    <w:rsid w:val="0044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0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wsybal</dc:creator>
  <cp:lastModifiedBy>Hardisc.pl</cp:lastModifiedBy>
  <cp:revision>4</cp:revision>
  <dcterms:created xsi:type="dcterms:W3CDTF">2020-12-24T01:29:00Z</dcterms:created>
  <dcterms:modified xsi:type="dcterms:W3CDTF">2020-12-24T01:34:00Z</dcterms:modified>
</cp:coreProperties>
</file>