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C1132" w14:textId="77777777" w:rsidR="009167C4" w:rsidRPr="00DC028E" w:rsidRDefault="009167C4" w:rsidP="009167C4">
      <w:pPr>
        <w:pStyle w:val="Akapitzlist"/>
        <w:numPr>
          <w:ilvl w:val="2"/>
          <w:numId w:val="1"/>
        </w:numPr>
        <w:ind w:left="993" w:hanging="284"/>
        <w:jc w:val="both"/>
        <w:rPr>
          <w:sz w:val="22"/>
          <w:szCs w:val="22"/>
        </w:rPr>
      </w:pPr>
      <w:r w:rsidRPr="00DC028E">
        <w:rPr>
          <w:sz w:val="22"/>
          <w:szCs w:val="22"/>
        </w:rPr>
        <w:t>się w tym samym folderze co plik podstawowy, aby nie dochodziło do gubienia ścieżek, w oddzielnym folderze należy umieścić zestaw stylów linii i czcionek, które są niezbędne do właściwego wyświetlania zawartości plików, pliki musza być wolne od zabezpieczeń przed drukowaniem oraz edycją.</w:t>
      </w:r>
    </w:p>
    <w:p w14:paraId="5CAC7305" w14:textId="77777777" w:rsidR="009167C4" w:rsidRPr="00DC028E" w:rsidRDefault="009167C4" w:rsidP="009167C4">
      <w:pPr>
        <w:spacing w:before="60"/>
        <w:ind w:left="284" w:firstLine="425"/>
        <w:jc w:val="both"/>
        <w:rPr>
          <w:spacing w:val="-2"/>
          <w:sz w:val="22"/>
          <w:szCs w:val="22"/>
        </w:rPr>
      </w:pPr>
      <w:r w:rsidRPr="00DC028E">
        <w:rPr>
          <w:spacing w:val="-2"/>
          <w:sz w:val="22"/>
          <w:szCs w:val="22"/>
        </w:rPr>
        <w:t xml:space="preserve">Zamawiający zastrzega, iż wersja elektroniczna dokumentacji projektowej mająca stanowić materiały przetargowe winna być pozbawiona informacji obejmujących dane osobowe (w tym projektantów, sprawdzających oraz stron postępowania na etapie uzyskiwanych opinii, uzgodnień, pozwoleń i decyzji). </w:t>
      </w:r>
    </w:p>
    <w:p w14:paraId="5EC56812" w14:textId="77777777" w:rsidR="009167C4" w:rsidRPr="003E531A" w:rsidRDefault="009167C4" w:rsidP="009167C4">
      <w:pPr>
        <w:ind w:left="284" w:firstLine="425"/>
        <w:jc w:val="both"/>
        <w:rPr>
          <w:spacing w:val="-2"/>
          <w:highlight w:val="yellow"/>
        </w:rPr>
      </w:pPr>
    </w:p>
    <w:p w14:paraId="563671E6" w14:textId="77777777" w:rsidR="009167C4" w:rsidRPr="00024E3B" w:rsidRDefault="009167C4" w:rsidP="009167C4">
      <w:pPr>
        <w:jc w:val="both"/>
        <w:rPr>
          <w:b/>
        </w:rPr>
      </w:pPr>
      <w:r w:rsidRPr="00024E3B">
        <w:rPr>
          <w:b/>
          <w:bCs/>
        </w:rPr>
        <w:t xml:space="preserve">9.5.1.2. </w:t>
      </w:r>
      <w:r w:rsidRPr="00024E3B">
        <w:rPr>
          <w:b/>
        </w:rPr>
        <w:t>Opracowana dokumentacja projektowa powinna być wykonana zgodnie z obowiązującymi przepisami, w tym:</w:t>
      </w:r>
    </w:p>
    <w:p w14:paraId="01BC6BF6" w14:textId="77777777" w:rsidR="009167C4" w:rsidRPr="005F0934" w:rsidRDefault="009167C4" w:rsidP="009167C4">
      <w:pPr>
        <w:spacing w:before="120"/>
        <w:ind w:left="624" w:hanging="170"/>
        <w:jc w:val="both"/>
        <w:rPr>
          <w:sz w:val="22"/>
          <w:szCs w:val="22"/>
        </w:rPr>
      </w:pPr>
      <w:bookmarkStart w:id="0" w:name="_Hlk122342489"/>
      <w:r w:rsidRPr="005F0934">
        <w:rPr>
          <w:sz w:val="22"/>
          <w:szCs w:val="22"/>
        </w:rPr>
        <w:t>– Ustawą z dnia 7 lipca 1994 Prawo budowlane (Dz. U. z 2023 r. poz. 682 ze zm.),</w:t>
      </w:r>
    </w:p>
    <w:p w14:paraId="348662F5" w14:textId="77777777" w:rsidR="009167C4" w:rsidRDefault="009167C4" w:rsidP="009167C4">
      <w:pPr>
        <w:spacing w:before="120"/>
        <w:ind w:left="624" w:hanging="170"/>
        <w:jc w:val="both"/>
        <w:rPr>
          <w:sz w:val="22"/>
          <w:szCs w:val="22"/>
        </w:rPr>
      </w:pPr>
      <w:r w:rsidRPr="005F0934">
        <w:rPr>
          <w:sz w:val="22"/>
          <w:szCs w:val="22"/>
        </w:rPr>
        <w:t>– Rozporządzeniem Ministra Rozwoju i Technologii z dnia 20 grudnia 2021 r. w sprawie szczegółowego zakresu i formy dokumentacji projektowej, specyfikacji technicznych wykonania i odbioru robót budowlanych oraz programu funkcjonalno – użytkowego (Dz. U. z 2021 poz. 2454),</w:t>
      </w:r>
    </w:p>
    <w:p w14:paraId="66CDC746" w14:textId="77777777" w:rsidR="009167C4" w:rsidRPr="005F0934" w:rsidRDefault="009167C4" w:rsidP="009167C4">
      <w:pPr>
        <w:spacing w:before="120"/>
        <w:ind w:left="624" w:hanging="170"/>
        <w:jc w:val="both"/>
        <w:rPr>
          <w:sz w:val="22"/>
          <w:szCs w:val="22"/>
        </w:rPr>
      </w:pPr>
      <w:r w:rsidRPr="005F0934">
        <w:rPr>
          <w:sz w:val="22"/>
          <w:szCs w:val="22"/>
        </w:rPr>
        <w:t>– Rozporządzeniem Ministra Infrastruktury z dnia 24 czerwca 2022 r. w sprawie przepisów techniczno-budowlanych dotyczących dróg publicznych (Dz.U. 2022 poz. 1518),</w:t>
      </w:r>
    </w:p>
    <w:p w14:paraId="7F62C03D" w14:textId="77777777" w:rsidR="009167C4" w:rsidRPr="005F0934" w:rsidRDefault="009167C4" w:rsidP="009167C4">
      <w:pPr>
        <w:spacing w:before="120"/>
        <w:ind w:left="624" w:hanging="170"/>
        <w:jc w:val="both"/>
        <w:rPr>
          <w:sz w:val="22"/>
          <w:szCs w:val="22"/>
        </w:rPr>
      </w:pPr>
      <w:r w:rsidRPr="005F0934">
        <w:rPr>
          <w:sz w:val="22"/>
          <w:szCs w:val="22"/>
        </w:rPr>
        <w:t>– Rozporządzeniem Ministra Rozwoju z dnia 11.09.2020r. w sprawie szczegółowego zakresu i formy projektu budowlanego (Dz.U. 2022 poz.1679),</w:t>
      </w:r>
    </w:p>
    <w:p w14:paraId="0A75CF03" w14:textId="77777777" w:rsidR="009167C4" w:rsidRPr="005F0934" w:rsidRDefault="009167C4" w:rsidP="009167C4">
      <w:pPr>
        <w:spacing w:before="120"/>
        <w:ind w:left="624" w:hanging="170"/>
        <w:jc w:val="both"/>
        <w:rPr>
          <w:sz w:val="22"/>
          <w:szCs w:val="22"/>
        </w:rPr>
      </w:pPr>
      <w:r w:rsidRPr="005F0934">
        <w:rPr>
          <w:sz w:val="22"/>
          <w:szCs w:val="22"/>
        </w:rPr>
        <w:t>– Ustawą z dnia 11 września 2019 r. Prawo Zamówień Publicznych (Dz. U. z 2023 r. poz. 1605- tekst jednolity ze zm.),</w:t>
      </w:r>
    </w:p>
    <w:p w14:paraId="64935A76" w14:textId="77777777" w:rsidR="009167C4" w:rsidRPr="0081419E" w:rsidRDefault="009167C4" w:rsidP="009167C4">
      <w:pPr>
        <w:spacing w:before="120"/>
        <w:ind w:left="624" w:hanging="170"/>
        <w:jc w:val="both"/>
        <w:rPr>
          <w:sz w:val="22"/>
          <w:szCs w:val="22"/>
        </w:rPr>
      </w:pPr>
      <w:r w:rsidRPr="0081419E">
        <w:rPr>
          <w:sz w:val="22"/>
          <w:szCs w:val="22"/>
        </w:rPr>
        <w:t>– Ustawą Prawo o ruchu drogowym z dnia 20 czerwca 1997 r. (Dz. U. z 2023 r., poz. 1047 – tekst jednolity z późn. zm.),</w:t>
      </w:r>
    </w:p>
    <w:p w14:paraId="04025FCD" w14:textId="77777777" w:rsidR="009167C4" w:rsidRPr="005F0934" w:rsidRDefault="009167C4" w:rsidP="009167C4">
      <w:pPr>
        <w:spacing w:before="120"/>
        <w:ind w:left="624" w:hanging="170"/>
        <w:jc w:val="both"/>
        <w:rPr>
          <w:sz w:val="22"/>
          <w:szCs w:val="22"/>
        </w:rPr>
      </w:pPr>
      <w:r w:rsidRPr="0081419E">
        <w:rPr>
          <w:sz w:val="22"/>
          <w:szCs w:val="22"/>
        </w:rPr>
        <w:t>– Rozporządzeniem Ministra Infrastruktury z dnia 23 września 2003 r. w sprawie szczegółowych warunków zarządzania ruchem na drogach oraz wykonywania nadzoru nad tym zarządzaniem (Dz. U. z 2017 r., poz. 784 – tekst jednolity z późn. zm.),</w:t>
      </w:r>
    </w:p>
    <w:p w14:paraId="6A21E368" w14:textId="77777777" w:rsidR="009167C4" w:rsidRPr="005F0934" w:rsidRDefault="009167C4" w:rsidP="009167C4">
      <w:pPr>
        <w:spacing w:before="120"/>
        <w:ind w:left="624" w:hanging="170"/>
        <w:jc w:val="both"/>
        <w:rPr>
          <w:sz w:val="22"/>
          <w:szCs w:val="22"/>
        </w:rPr>
      </w:pPr>
      <w:r w:rsidRPr="005F0934">
        <w:rPr>
          <w:sz w:val="22"/>
          <w:szCs w:val="22"/>
        </w:rPr>
        <w:t>–  Rozporządzeniem Ministrów Infrastruktury oraz Spraw Wewnętrznych i Administracji z dnia 31 lipca 2002 r. w sprawie znaków i sygnałów drogowych (Dz. U. z 2019 r., poz. 2310 – tekst jednolity z późn. zm.),</w:t>
      </w:r>
    </w:p>
    <w:p w14:paraId="311E05DE" w14:textId="77777777" w:rsidR="009167C4" w:rsidRDefault="009167C4" w:rsidP="009167C4">
      <w:pPr>
        <w:spacing w:before="120"/>
        <w:ind w:left="624" w:hanging="170"/>
        <w:jc w:val="both"/>
        <w:rPr>
          <w:sz w:val="22"/>
          <w:szCs w:val="22"/>
        </w:rPr>
      </w:pPr>
      <w:r w:rsidRPr="005F0934">
        <w:rPr>
          <w:sz w:val="22"/>
          <w:szCs w:val="22"/>
        </w:rPr>
        <w:t>– Rozporządzeniem Ministra Infrastruktury z dnia 3 lipca 2003 r. w sprawie szczegółowych warunków technicznych dla znaków i sygnałów drogowych oraz urządzeń bezpieczeństwa ruchu drogowego i warunków ich umieszczania na drogach (Dz. U. z 2019 r., poz. 2311 – tekst jednolity z późn. zm.),</w:t>
      </w:r>
    </w:p>
    <w:p w14:paraId="67D3DD81" w14:textId="77777777" w:rsidR="009167C4" w:rsidRPr="005F0934" w:rsidRDefault="009167C4" w:rsidP="009167C4">
      <w:pPr>
        <w:spacing w:before="120"/>
        <w:jc w:val="both"/>
        <w:rPr>
          <w:sz w:val="22"/>
          <w:szCs w:val="22"/>
        </w:rPr>
      </w:pPr>
    </w:p>
    <w:bookmarkEnd w:id="0"/>
    <w:p w14:paraId="45E57F1F" w14:textId="77777777" w:rsidR="009167C4" w:rsidRPr="00790719" w:rsidRDefault="009167C4" w:rsidP="009167C4">
      <w:pPr>
        <w:ind w:left="284" w:firstLine="283"/>
        <w:jc w:val="both"/>
        <w:rPr>
          <w:b/>
          <w:bCs/>
          <w:sz w:val="22"/>
          <w:szCs w:val="22"/>
        </w:rPr>
      </w:pPr>
      <w:r w:rsidRPr="00850CB3">
        <w:rPr>
          <w:b/>
          <w:bCs/>
          <w:sz w:val="22"/>
          <w:szCs w:val="22"/>
        </w:rPr>
        <w:t>Obiekty budowlane należy projektować w sposób określony w przepisach (w tym przepisach techniczno–budowlanych) oraz zgodnie z zasadami wiedzy technicznej zawartej w szczególności we wzorcach i standardach (WiS) rekomendowanych przez Ministra Infrastruktury: WR-D</w:t>
      </w:r>
      <w:r>
        <w:rPr>
          <w:b/>
          <w:bCs/>
          <w:sz w:val="22"/>
          <w:szCs w:val="22"/>
        </w:rPr>
        <w:t>, WR-M oraz w Polskich Normach.</w:t>
      </w:r>
    </w:p>
    <w:p w14:paraId="104A9943" w14:textId="77777777" w:rsidR="009167C4" w:rsidRDefault="009167C4" w:rsidP="009167C4">
      <w:pPr>
        <w:spacing w:before="120"/>
        <w:ind w:left="284"/>
        <w:jc w:val="both"/>
        <w:rPr>
          <w:b/>
          <w:sz w:val="22"/>
          <w:szCs w:val="22"/>
        </w:rPr>
      </w:pPr>
      <w:r w:rsidRPr="00DC028E">
        <w:rPr>
          <w:b/>
          <w:sz w:val="22"/>
          <w:szCs w:val="22"/>
        </w:rPr>
        <w:t xml:space="preserve">Projekty nawierzchni asfaltowych powinny być projektowane w oparciu o aktualne Wymagania Techniczne rekomendowane przez Ministra Infrastruktury: WT-1, WT-2, WT-3 itp. </w:t>
      </w:r>
    </w:p>
    <w:p w14:paraId="157A5F12" w14:textId="77777777" w:rsidR="000D701C" w:rsidRDefault="000D701C"/>
    <w:sectPr w:rsidR="000D70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D76A1" w14:textId="77777777" w:rsidR="00302407" w:rsidRDefault="00302407" w:rsidP="009167C4">
      <w:r>
        <w:separator/>
      </w:r>
    </w:p>
  </w:endnote>
  <w:endnote w:type="continuationSeparator" w:id="0">
    <w:p w14:paraId="0C7B1512" w14:textId="77777777" w:rsidR="00302407" w:rsidRDefault="00302407" w:rsidP="0091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673852"/>
      <w:docPartObj>
        <w:docPartGallery w:val="Page Numbers (Bottom of Page)"/>
        <w:docPartUnique/>
      </w:docPartObj>
    </w:sdtPr>
    <w:sdtContent>
      <w:p w14:paraId="390779D9" w14:textId="7ED05336" w:rsidR="009167C4" w:rsidRDefault="009167C4">
        <w:pPr>
          <w:pStyle w:val="Stopka"/>
          <w:jc w:val="center"/>
        </w:pPr>
        <w:r>
          <w:t>26</w:t>
        </w:r>
      </w:p>
    </w:sdtContent>
  </w:sdt>
  <w:p w14:paraId="4A660880" w14:textId="77777777" w:rsidR="009167C4" w:rsidRDefault="00916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63407" w14:textId="77777777" w:rsidR="00302407" w:rsidRDefault="00302407" w:rsidP="009167C4">
      <w:r>
        <w:separator/>
      </w:r>
    </w:p>
  </w:footnote>
  <w:footnote w:type="continuationSeparator" w:id="0">
    <w:p w14:paraId="51E69488" w14:textId="77777777" w:rsidR="00302407" w:rsidRDefault="00302407" w:rsidP="0091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83C8A"/>
    <w:multiLevelType w:val="hybridMultilevel"/>
    <w:tmpl w:val="7B54D838"/>
    <w:lvl w:ilvl="0" w:tplc="8D54778E">
      <w:start w:val="1"/>
      <w:numFmt w:val="decimal"/>
      <w:lvlText w:val="%1."/>
      <w:lvlJc w:val="left"/>
      <w:pPr>
        <w:tabs>
          <w:tab w:val="num" w:pos="1230"/>
        </w:tabs>
        <w:ind w:left="1230" w:hanging="360"/>
      </w:pPr>
      <w:rPr>
        <w:rFonts w:hint="default"/>
        <w:b/>
      </w:rPr>
    </w:lvl>
    <w:lvl w:ilvl="1" w:tplc="4F92EAF6">
      <w:start w:val="1"/>
      <w:numFmt w:val="bullet"/>
      <w:lvlText w:val=""/>
      <w:lvlJc w:val="left"/>
      <w:pPr>
        <w:tabs>
          <w:tab w:val="num" w:pos="1950"/>
        </w:tabs>
        <w:ind w:left="1950" w:hanging="360"/>
      </w:pPr>
      <w:rPr>
        <w:rFonts w:ascii="Symbol" w:hAnsi="Symbol" w:hint="default"/>
        <w:b/>
      </w:rPr>
    </w:lvl>
    <w:lvl w:ilvl="2" w:tplc="04150017">
      <w:start w:val="1"/>
      <w:numFmt w:val="lowerLetter"/>
      <w:lvlText w:val="%3)"/>
      <w:lvlJc w:val="lef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num w:numId="1" w16cid:durableId="15842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2"/>
    <w:rsid w:val="000D701C"/>
    <w:rsid w:val="00302407"/>
    <w:rsid w:val="006A5F45"/>
    <w:rsid w:val="009167C4"/>
    <w:rsid w:val="009D5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FF0A"/>
  <w15:chartTrackingRefBased/>
  <w15:docId w15:val="{F97B84C4-844D-4627-BADD-342ECA9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7C4"/>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
    <w:basedOn w:val="Normalny"/>
    <w:uiPriority w:val="34"/>
    <w:qFormat/>
    <w:rsid w:val="009167C4"/>
    <w:pPr>
      <w:ind w:left="708"/>
    </w:pPr>
  </w:style>
  <w:style w:type="paragraph" w:styleId="Nagwek">
    <w:name w:val="header"/>
    <w:basedOn w:val="Normalny"/>
    <w:link w:val="NagwekZnak"/>
    <w:uiPriority w:val="99"/>
    <w:unhideWhenUsed/>
    <w:rsid w:val="009167C4"/>
    <w:pPr>
      <w:tabs>
        <w:tab w:val="center" w:pos="4536"/>
        <w:tab w:val="right" w:pos="9072"/>
      </w:tabs>
    </w:pPr>
  </w:style>
  <w:style w:type="character" w:customStyle="1" w:styleId="NagwekZnak">
    <w:name w:val="Nagłówek Znak"/>
    <w:basedOn w:val="Domylnaczcionkaakapitu"/>
    <w:link w:val="Nagwek"/>
    <w:uiPriority w:val="99"/>
    <w:rsid w:val="009167C4"/>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9167C4"/>
    <w:pPr>
      <w:tabs>
        <w:tab w:val="center" w:pos="4536"/>
        <w:tab w:val="right" w:pos="9072"/>
      </w:tabs>
    </w:pPr>
  </w:style>
  <w:style w:type="character" w:customStyle="1" w:styleId="StopkaZnak">
    <w:name w:val="Stopka Znak"/>
    <w:basedOn w:val="Domylnaczcionkaakapitu"/>
    <w:link w:val="Stopka"/>
    <w:uiPriority w:val="99"/>
    <w:rsid w:val="009167C4"/>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2383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Kotyś-Bęben</dc:creator>
  <cp:keywords/>
  <dc:description/>
  <cp:lastModifiedBy>Justyna Kotyś-Bęben</cp:lastModifiedBy>
  <cp:revision>5</cp:revision>
  <dcterms:created xsi:type="dcterms:W3CDTF">2024-04-02T09:58:00Z</dcterms:created>
  <dcterms:modified xsi:type="dcterms:W3CDTF">2024-04-02T09:58:00Z</dcterms:modified>
</cp:coreProperties>
</file>