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961CA9">
        <w:rPr>
          <w:i/>
          <w:iCs/>
          <w:color w:val="000000"/>
          <w:sz w:val="18"/>
          <w:szCs w:val="18"/>
        </w:rPr>
        <w:t>1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587BE2">
        <w:rPr>
          <w:i/>
          <w:iCs/>
          <w:color w:val="000000" w:themeColor="text1"/>
          <w:sz w:val="18"/>
          <w:szCs w:val="18"/>
        </w:rPr>
        <w:t>DKw.2233.32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587BE2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587BE2">
        <w:rPr>
          <w:i/>
          <w:iCs/>
          <w:color w:val="000000" w:themeColor="text1"/>
          <w:sz w:val="18"/>
          <w:szCs w:val="18"/>
        </w:rPr>
        <w:t>MM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ostawy</w:t>
      </w:r>
      <w:r w:rsidR="002C4431">
        <w:rPr>
          <w:b/>
          <w:bCs/>
          <w:color w:val="000000"/>
        </w:rPr>
        <w:t xml:space="preserve"> produktów </w:t>
      </w:r>
      <w:r w:rsidR="00961CA9">
        <w:rPr>
          <w:b/>
          <w:bCs/>
          <w:color w:val="000000"/>
        </w:rPr>
        <w:t xml:space="preserve">mrożonych 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 xml:space="preserve">zwane dalej towarem, który wyszczególniony został w </w:t>
      </w:r>
      <w:r w:rsidR="00587BE2">
        <w:rPr>
          <w:color w:val="000000"/>
        </w:rPr>
        <w:t>zapytaniu ofertowym z dnia 30</w:t>
      </w:r>
      <w:r w:rsidR="002C4431">
        <w:rPr>
          <w:color w:val="000000"/>
        </w:rPr>
        <w:t xml:space="preserve"> </w:t>
      </w:r>
      <w:r w:rsidR="00587BE2">
        <w:rPr>
          <w:color w:val="000000"/>
        </w:rPr>
        <w:t>maj</w:t>
      </w:r>
      <w:r w:rsidR="002C4431">
        <w:rPr>
          <w:color w:val="000000"/>
        </w:rPr>
        <w:t>a 202</w:t>
      </w:r>
      <w:r w:rsidR="00587BE2">
        <w:rPr>
          <w:color w:val="000000"/>
        </w:rPr>
        <w:t>3</w:t>
      </w:r>
      <w:r w:rsidR="002C4431">
        <w:rPr>
          <w:color w:val="000000"/>
        </w:rPr>
        <w:t xml:space="preserve"> roku.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C76822">
        <w:rPr>
          <w:color w:val="000000"/>
        </w:rPr>
        <w:t>2</w:t>
      </w:r>
      <w:r>
        <w:rPr>
          <w:color w:val="000000"/>
        </w:rPr>
        <w:t xml:space="preserve"> raz</w:t>
      </w:r>
      <w:r w:rsidR="00C76822">
        <w:rPr>
          <w:color w:val="000000"/>
        </w:rPr>
        <w:t>y</w:t>
      </w:r>
      <w:r>
        <w:rPr>
          <w:color w:val="000000"/>
        </w:rPr>
        <w:t xml:space="preserve">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335C0A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335C0A">
        <w:rPr>
          <w:b/>
          <w:color w:val="000000" w:themeColor="text1"/>
        </w:rPr>
        <w:t>od</w:t>
      </w:r>
      <w:r w:rsidRPr="00C76822">
        <w:rPr>
          <w:b/>
          <w:bCs/>
          <w:color w:val="000000" w:themeColor="text1"/>
        </w:rPr>
        <w:t xml:space="preserve"> 1</w:t>
      </w:r>
      <w:r w:rsidR="00335C0A">
        <w:rPr>
          <w:b/>
          <w:bCs/>
          <w:color w:val="000000" w:themeColor="text1"/>
        </w:rPr>
        <w:t xml:space="preserve"> </w:t>
      </w:r>
      <w:r w:rsidR="00587BE2">
        <w:rPr>
          <w:b/>
          <w:bCs/>
          <w:color w:val="000000" w:themeColor="text1"/>
        </w:rPr>
        <w:t>lipca</w:t>
      </w:r>
      <w:bookmarkStart w:id="2" w:name="_GoBack"/>
      <w:bookmarkEnd w:id="2"/>
      <w:r w:rsidR="00C76822" w:rsidRPr="00C76822">
        <w:rPr>
          <w:b/>
          <w:bCs/>
          <w:color w:val="000000" w:themeColor="text1"/>
        </w:rPr>
        <w:t xml:space="preserve"> </w:t>
      </w:r>
      <w:r w:rsidRPr="00C76822">
        <w:rPr>
          <w:b/>
          <w:bCs/>
          <w:color w:val="000000" w:themeColor="text1"/>
        </w:rPr>
        <w:t>202</w:t>
      </w:r>
      <w:r w:rsidR="00335C0A">
        <w:rPr>
          <w:b/>
          <w:bCs/>
          <w:color w:val="000000" w:themeColor="text1"/>
        </w:rPr>
        <w:t>3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lastRenderedPageBreak/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lastRenderedPageBreak/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959C7"/>
    <w:rsid w:val="002C406E"/>
    <w:rsid w:val="002C4431"/>
    <w:rsid w:val="00335C0A"/>
    <w:rsid w:val="003B3174"/>
    <w:rsid w:val="00587BE2"/>
    <w:rsid w:val="008122B7"/>
    <w:rsid w:val="00961CA9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0940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2023-05-29T12:25:00Z</dcterms:created>
  <dcterms:modified xsi:type="dcterms:W3CDTF">2023-05-29T12:25:00Z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