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FCC8E" w14:textId="7A7C4C66" w:rsidR="00017291" w:rsidRPr="004E7179" w:rsidRDefault="00017291" w:rsidP="00017291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Urządzenie laserowe </w:t>
      </w:r>
      <w:r>
        <w:rPr>
          <w:rFonts w:ascii="Arial" w:hAnsi="Arial" w:cs="Arial"/>
          <w:sz w:val="16"/>
          <w:szCs w:val="16"/>
        </w:rPr>
        <w:t xml:space="preserve"> - </w:t>
      </w:r>
      <w:r w:rsidRPr="004E7179">
        <w:rPr>
          <w:rFonts w:ascii="Arial" w:hAnsi="Arial" w:cs="Arial"/>
          <w:sz w:val="16"/>
          <w:szCs w:val="16"/>
        </w:rPr>
        <w:t>A3 i A4</w:t>
      </w:r>
    </w:p>
    <w:p w14:paraId="2E37242D" w14:textId="77777777" w:rsidR="00017291" w:rsidRPr="004E7179" w:rsidRDefault="00017291" w:rsidP="00017291">
      <w:pPr>
        <w:shd w:val="clear" w:color="auto" w:fill="FFFFFF" w:themeFill="background1"/>
        <w:rPr>
          <w:rFonts w:ascii="Arial" w:hAnsi="Arial" w:cs="Arial"/>
          <w:sz w:val="16"/>
          <w:szCs w:val="16"/>
        </w:rPr>
      </w:pPr>
    </w:p>
    <w:p w14:paraId="14739BDB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Funkcje: Drukowanie, kopiowanie w czerni i kolorze, skanowanie w kolorze z wysyłaniem dokumentów pocztą elektroniczną, funkcja druku podążającego (poufnego).</w:t>
      </w:r>
    </w:p>
    <w:p w14:paraId="322EDB4E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Czas wydruku pierwszej strony (A4, w czerni): Poniżej 10 s</w:t>
      </w:r>
    </w:p>
    <w:p w14:paraId="4AA00265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Maksymalne obciążenie miesięczne (format A4): 200 000 stron</w:t>
      </w:r>
    </w:p>
    <w:p w14:paraId="7788CC55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Jakość druku (w czerni): 1200 x 1200 dpi</w:t>
      </w:r>
    </w:p>
    <w:p w14:paraId="5613CB71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Prędkość drukowania (A4, w czerni, tryb normalny): 50 str./min</w:t>
      </w:r>
    </w:p>
    <w:p w14:paraId="5070A3EA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Druk dwustronny (duplex): Automatyczny</w:t>
      </w:r>
    </w:p>
    <w:p w14:paraId="0C4D1723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Standardowe języki drukarki: PostScript 3 lub emulacja języka PostScript 3, PCL 6 </w:t>
      </w:r>
    </w:p>
    <w:p w14:paraId="047D4600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Moduł czytnika karty zbliżeniowej: Wbudowany moduł czytnika karty zbliżeniowej obsługujący standard kart posiadanych przez Zamawiającego – HID ICLASS, (umożliwiający autoryzację użytkownika na urządzeniu i realizowanie funkcji druku podążającego) .Czytnik musi być zainstalowany w obrysie Urządzenia, w dedykowanym przez producenta miejscu.</w:t>
      </w:r>
    </w:p>
    <w:p w14:paraId="54F32EE3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Zmniejszanie/powiększanie kopii: 25-400% </w:t>
      </w:r>
    </w:p>
    <w:p w14:paraId="105A9FD9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Kopiowanie wielokrotne: 1-999 </w:t>
      </w:r>
    </w:p>
    <w:p w14:paraId="7FB2F217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Sortowanie: Możliwość elektronicznego sortowania</w:t>
      </w:r>
    </w:p>
    <w:p w14:paraId="0EFE4748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Standardowe rozwiązania komunikacyjne: port 10/100/1000Base-T Wymaga się aby wymienione interfejsy były fabrycznie wbudowane w podstawowej konfiguracji urządzenia. Zamawiający nie dopuszcza zastosowania w oferowanych urządzeniach wielofunkcyjnych zewnętrznego serwera druku podpiętego do Urządzenia za pomocą kabla USB</w:t>
      </w:r>
    </w:p>
    <w:p w14:paraId="4C01506D" w14:textId="77777777" w:rsidR="00017291" w:rsidRPr="00636052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636052">
        <w:rPr>
          <w:rFonts w:ascii="Arial" w:hAnsi="Arial" w:cs="Arial"/>
          <w:sz w:val="16"/>
          <w:szCs w:val="16"/>
        </w:rPr>
        <w:t>Zainstalowana pamięć: min 4 GB RAM</w:t>
      </w:r>
    </w:p>
    <w:p w14:paraId="69773312" w14:textId="77777777" w:rsidR="00017291" w:rsidRPr="00636052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636052">
        <w:rPr>
          <w:rFonts w:ascii="Arial" w:hAnsi="Arial" w:cs="Arial"/>
          <w:bCs/>
          <w:sz w:val="16"/>
          <w:szCs w:val="16"/>
        </w:rPr>
        <w:t>Wbudowany dysk szyfrowany kluczem AES-256 lub SHA-256</w:t>
      </w:r>
    </w:p>
    <w:p w14:paraId="1CEF32B3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Typ skanera: Skaner stolikowy, automatyczny podajnik dokumentów skaner jednoprzebiegowy</w:t>
      </w:r>
    </w:p>
    <w:p w14:paraId="1F78CBDB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Rozdzielczość skanowania: 600 x 600 dpi</w:t>
      </w:r>
    </w:p>
    <w:p w14:paraId="78314754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Maksymalny format skanowania: A3</w:t>
      </w:r>
    </w:p>
    <w:p w14:paraId="158A5941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Automatyczny podajnik oryginałów ADF: 130 kartek </w:t>
      </w:r>
    </w:p>
    <w:p w14:paraId="778ED047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17" w:hanging="317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Prędkość skanowania: duplex mono: minimum 100 obrazów na min</w:t>
      </w:r>
    </w:p>
    <w:p w14:paraId="3CD92071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Skanowanie w kolorze: Tak</w:t>
      </w:r>
    </w:p>
    <w:p w14:paraId="70BE5136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17" w:hanging="317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Prędkość skanowania: duplex kolor: minimum 100 obrazów na min.</w:t>
      </w:r>
    </w:p>
    <w:p w14:paraId="503E6D5E" w14:textId="71EC6C19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Format pliku zawierającego zeskanowany obraz: TIFF, JPEG, PDF, MTIFF (Multipage TIFF), PDF – przeszukiwalny. </w:t>
      </w:r>
    </w:p>
    <w:p w14:paraId="05F68698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Funkcje skanowania: SMB (do ustalonej lokalizacji), do pliku, do email, do pamięci USB</w:t>
      </w:r>
    </w:p>
    <w:p w14:paraId="5D9627B8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Nośniki: Papier zwykły, koperty, etykiety</w:t>
      </w:r>
    </w:p>
    <w:p w14:paraId="647EA804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Standardowe wymiary nośników: A3, A4, A5</w:t>
      </w:r>
    </w:p>
    <w:p w14:paraId="6A008A0D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Gramatura papieru: 60-300 g/m2 </w:t>
      </w:r>
    </w:p>
    <w:p w14:paraId="31BD0471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Pojemność podajników papieru: Minimum 3000 arkuszy (80 g/m2)</w:t>
      </w:r>
    </w:p>
    <w:p w14:paraId="3B603639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Obsługiwane systemy operacyjne: Windows 8, Windows 10</w:t>
      </w:r>
    </w:p>
    <w:p w14:paraId="750CF402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Obsługiwane sieciowe systemy operacyjne: Minimum Windows Server 2012 R2, Unix </w:t>
      </w:r>
    </w:p>
    <w:p w14:paraId="0CF9DFA0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Panel sterowania: Dotykowy wyświetlacz LCD </w:t>
      </w:r>
    </w:p>
    <w:p w14:paraId="6904AA01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Podstawa urządzenia: Umożliwiająca łatwe przemieszczenie urządzenia </w:t>
      </w:r>
    </w:p>
    <w:p w14:paraId="72FAE0FF" w14:textId="77777777" w:rsidR="00017291" w:rsidRPr="004E7179" w:rsidRDefault="00017291" w:rsidP="00017291">
      <w:pPr>
        <w:numPr>
          <w:ilvl w:val="0"/>
          <w:numId w:val="1"/>
        </w:numPr>
        <w:shd w:val="clear" w:color="auto" w:fill="FFFFFF" w:themeFill="background1"/>
        <w:autoSpaceDE w:val="0"/>
        <w:autoSpaceDN w:val="0"/>
        <w:adjustRightInd w:val="0"/>
        <w:ind w:left="360"/>
        <w:contextualSpacing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Zużycie energii / certyfikaty certyfikat dla urządzenia: certyfikat CE</w:t>
      </w:r>
    </w:p>
    <w:p w14:paraId="6C1BE9DB" w14:textId="3FEB7FA2" w:rsidR="00421429" w:rsidRDefault="00421429"/>
    <w:p w14:paraId="488C2DBD" w14:textId="30B7AEBD" w:rsidR="00017291" w:rsidRPr="00017291" w:rsidRDefault="00017291" w:rsidP="00017291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017291">
        <w:rPr>
          <w:rFonts w:ascii="Arial" w:hAnsi="Arial" w:cs="Arial"/>
          <w:sz w:val="16"/>
          <w:szCs w:val="16"/>
        </w:rPr>
        <w:t>Dodatkowo:</w:t>
      </w:r>
    </w:p>
    <w:p w14:paraId="26580AA6" w14:textId="5292550C" w:rsidR="00017291" w:rsidRPr="004E7179" w:rsidRDefault="00017291" w:rsidP="00017291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Każde z urządzeń powinno mieć możliwość uruchomienia zadań: wydruku, kopiowania i skanowania dopiero w chwili </w:t>
      </w:r>
      <w:r>
        <w:rPr>
          <w:rFonts w:ascii="Arial" w:hAnsi="Arial" w:cs="Arial"/>
          <w:sz w:val="16"/>
          <w:szCs w:val="16"/>
        </w:rPr>
        <w:t xml:space="preserve">autoryzacji </w:t>
      </w:r>
    </w:p>
    <w:p w14:paraId="1A9D4A17" w14:textId="77777777" w:rsidR="00017291" w:rsidRPr="004E7179" w:rsidRDefault="00017291" w:rsidP="00017291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Urządzenie musi być wyposażone w panel operacyjny z obsługą języka polskiego.</w:t>
      </w:r>
    </w:p>
    <w:p w14:paraId="1F300848" w14:textId="0653A94B" w:rsidR="00017291" w:rsidRPr="004E7179" w:rsidRDefault="00017291" w:rsidP="00017291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Każdy typ Urządzenia musi być oferowane w ramach jednego modelu.</w:t>
      </w:r>
    </w:p>
    <w:p w14:paraId="10BA8747" w14:textId="77777777" w:rsidR="00017291" w:rsidRPr="004E7179" w:rsidRDefault="00017291" w:rsidP="00017291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>W urządzeniach stosowany będzie standardowo papier o gramaturze 80g/m2.</w:t>
      </w:r>
    </w:p>
    <w:p w14:paraId="5EE46F74" w14:textId="77777777" w:rsidR="00017291" w:rsidRPr="004E7179" w:rsidRDefault="00017291" w:rsidP="00017291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Wymagane jest aby urządzenia umożliwiało wydruk mono przy wykorzystywaniu niezależnych pojemników z czarnym tonerem (tuszem). </w:t>
      </w:r>
    </w:p>
    <w:p w14:paraId="6E9672CE" w14:textId="77777777" w:rsidR="00017291" w:rsidRPr="004E7179" w:rsidRDefault="00017291" w:rsidP="00017291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Wszystkie Urządzenia powinny być wyposażone w ujednolicony dla użytkownika kolorowy, dotykowy panel sterujący z obsługą w języku polskim. </w:t>
      </w:r>
    </w:p>
    <w:p w14:paraId="6E093CEB" w14:textId="77777777" w:rsidR="00017291" w:rsidRPr="004E7179" w:rsidRDefault="00017291" w:rsidP="00017291">
      <w:pPr>
        <w:numPr>
          <w:ilvl w:val="0"/>
          <w:numId w:val="2"/>
        </w:num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4E7179">
        <w:rPr>
          <w:rFonts w:ascii="Arial" w:hAnsi="Arial" w:cs="Arial"/>
          <w:sz w:val="16"/>
          <w:szCs w:val="16"/>
        </w:rPr>
        <w:t xml:space="preserve">Wykonawca zobowiązany będzie do dostarczenia kompletnych instrukcji obsługi Urządzeń oraz przygotowania i przekazania krótkich instrukcji postępowania dla użytkownika końcowego w języku polskim i w postaci instrukcji obrazkowej np. możliwej do powieszenia w pobliżu Urządzenia. </w:t>
      </w:r>
    </w:p>
    <w:p w14:paraId="7372E42D" w14:textId="77777777" w:rsidR="00017291" w:rsidRPr="004E7179" w:rsidRDefault="00017291" w:rsidP="0012320A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</w:p>
    <w:p w14:paraId="19672DE3" w14:textId="33C08E71" w:rsidR="00017291" w:rsidRPr="0012320A" w:rsidRDefault="0012320A" w:rsidP="0012320A">
      <w:pPr>
        <w:shd w:val="clear" w:color="auto" w:fill="FFFFFF" w:themeFill="background1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 w:rsidRPr="0012320A">
        <w:rPr>
          <w:rFonts w:ascii="Arial" w:hAnsi="Arial" w:cs="Arial"/>
          <w:sz w:val="16"/>
          <w:szCs w:val="16"/>
        </w:rPr>
        <w:t>Gwarancja:</w:t>
      </w:r>
    </w:p>
    <w:p w14:paraId="30FAC320" w14:textId="1CEA6940" w:rsidR="0012320A" w:rsidRPr="009F0A90" w:rsidRDefault="0012320A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 xml:space="preserve">Okres gwarancji na Urządzenia będzie wynosił </w:t>
      </w:r>
      <w:r w:rsidR="00D46240" w:rsidRPr="009F0A90">
        <w:rPr>
          <w:rFonts w:ascii="Arial" w:hAnsi="Arial" w:cs="Arial"/>
          <w:sz w:val="16"/>
          <w:szCs w:val="16"/>
        </w:rPr>
        <w:t>24</w:t>
      </w:r>
      <w:r w:rsidRPr="009F0A90">
        <w:rPr>
          <w:rFonts w:ascii="Arial" w:hAnsi="Arial" w:cs="Arial"/>
          <w:sz w:val="16"/>
          <w:szCs w:val="16"/>
        </w:rPr>
        <w:t xml:space="preserve"> </w:t>
      </w:r>
      <w:r w:rsidR="008A0408" w:rsidRPr="009F0A90">
        <w:rPr>
          <w:rFonts w:ascii="Arial" w:hAnsi="Arial" w:cs="Arial"/>
          <w:sz w:val="16"/>
          <w:szCs w:val="16"/>
        </w:rPr>
        <w:t>miesiące</w:t>
      </w:r>
      <w:r w:rsidRPr="009F0A90">
        <w:rPr>
          <w:rFonts w:ascii="Arial" w:hAnsi="Arial" w:cs="Arial"/>
          <w:sz w:val="16"/>
          <w:szCs w:val="16"/>
        </w:rPr>
        <w:t xml:space="preserve"> przy czym bieg okresu gwarancji rozpocznie się z chwila podpisania protokołu odbioru.</w:t>
      </w:r>
    </w:p>
    <w:p w14:paraId="028D2205" w14:textId="03B64B26" w:rsidR="0012320A" w:rsidRPr="009F0A90" w:rsidRDefault="0012320A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Do dostarczonych Urządzeń będą dołączone karty gwarancyjne zawierające numery seryjne urządzeń, termin i warunki ważności gwarancji, adresy i numery telefonów punktów serwisowych świadczących usługi gwarancyjne.</w:t>
      </w:r>
    </w:p>
    <w:p w14:paraId="78281F81" w14:textId="77777777" w:rsidR="00D46240" w:rsidRPr="009F0A90" w:rsidRDefault="0012320A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Zamawiający wymaga, by serwis gwarancyjny był świadczony przez Wykonawcę na terytorium Polski.</w:t>
      </w:r>
    </w:p>
    <w:p w14:paraId="2B7383AF" w14:textId="012EB6D1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Gwarancja obejmuje wady materiałowe i konstrukcyjne, a także nie spełnienie deklarowanych przez producenta parametrów i/lub funkcji użytkowych, naprawę wykrytych uszkodzeń komponentów urządzeń w tym wymianę uszkodzonych podzespołów na nowe.</w:t>
      </w:r>
    </w:p>
    <w:p w14:paraId="61BB2C28" w14:textId="77777777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Sterowniki/oprogramowanie do urządzenia będą dostarczone przez Wykonawcę na osobnych nośnikach,</w:t>
      </w:r>
    </w:p>
    <w:p w14:paraId="59261F45" w14:textId="77777777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Wszystkie niezbędne do prawidłowej pracy urządzenia kable (przewód zasilający), będą dostarczone przez Wykonawcę w komplecie ze sprzętem,</w:t>
      </w:r>
    </w:p>
    <w:p w14:paraId="4C895F88" w14:textId="77777777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Wykonawca zapewni bezpłatną jednorazową (pierwszą) instalację i uruchomienie urządzenia na terenie Polski, tylko w przypadku, kiedy urządzenie musi zostać zainstalowane lub aktywowane w obecności autoryzowanego serwisu producenta sprzętu. Instalacja i uruchomienie wraz z dojazdem wliczone jest w cenę urządzenia. Data i miejsce instalacji zostanie podane przez Zamawiającego w trakcie trwania umowy w ustaleniach roboczych.</w:t>
      </w:r>
    </w:p>
    <w:p w14:paraId="275D1CAF" w14:textId="513A8190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 xml:space="preserve">W przypadku, gdzie do uruchomienia urządzenia wymagany jest autoryzowany serwis producenta, Wykonawca do każdego urządzenia dołączy instrukcję, w której opisana zostanie procedura zgłoszenia do autoryzowanego serwisu producenta. </w:t>
      </w:r>
    </w:p>
    <w:p w14:paraId="2411F8D5" w14:textId="27C687F9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lastRenderedPageBreak/>
        <w:t>W przypadku zaoferowania urządzenia, w którym wymiana bębna światłoczułego realizowana jest tylko przez autoryzowany serwis producenta sprzętu, Wykonawca w ramach umowy pokryje koszty tej wymiany (zapis dotyczy tylko i wyłącznie urządzenia, które jest wyposażone w bęben światłoczuły).</w:t>
      </w:r>
    </w:p>
    <w:p w14:paraId="065B1F1F" w14:textId="77777777" w:rsidR="00D46240" w:rsidRDefault="00D46240" w:rsidP="00D46240">
      <w:pPr>
        <w:rPr>
          <w:rFonts w:ascii="Arial" w:hAnsi="Arial" w:cs="Arial"/>
          <w:sz w:val="16"/>
          <w:szCs w:val="16"/>
        </w:rPr>
      </w:pPr>
    </w:p>
    <w:p w14:paraId="59586D2E" w14:textId="77777777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W przypadku, gdy producent sprzętu wymaga płatnych cyklicznych przeglądów technicznych urządzenia, Wykonawca w ramach umowy pokryje koszt tej usługi przez cały okres trwania gwarancji.</w:t>
      </w:r>
    </w:p>
    <w:p w14:paraId="795B0368" w14:textId="77777777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W przypadku wykrycia wady materiałów eksploatacyjnych dostarczonych wraz z  urządzeniem Wykonawca w ramach gwarancji wymieni wszystkie wadliwe elementy na nowe (dotyczy zespołu grzewczego, bębnów, tonerów).</w:t>
      </w:r>
    </w:p>
    <w:p w14:paraId="537B741A" w14:textId="68BEC366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Dostarczony przez Wykonawcę Przedmiot umowy jest fabrycznie nowy, nie starszy niż 12 miesięcy od daty jego wyprodukowania, wolny od wad fizycznych i prawnych oraz pakowany jest w oryginalne bezzwrotne opakowania producenta oraz posiadają oznakowanie (certyfikat) CE – Conformite Europeenne.</w:t>
      </w:r>
    </w:p>
    <w:p w14:paraId="52584B9C" w14:textId="77777777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 xml:space="preserve">Zgłoszenia o awariach Urządzeń będą przyjmowane przez Wykonawcę w dni robocze (od poniedziałku do piątku) w godz. </w:t>
      </w:r>
      <w:r w:rsidRPr="009F0A90">
        <w:rPr>
          <w:rFonts w:ascii="Arial" w:hAnsi="Arial" w:cs="Arial"/>
          <w:sz w:val="16"/>
          <w:szCs w:val="16"/>
        </w:rPr>
        <w:t xml:space="preserve">8:00 – 16:00 </w:t>
      </w:r>
      <w:r w:rsidRPr="009F0A90">
        <w:rPr>
          <w:rFonts w:ascii="Arial" w:hAnsi="Arial" w:cs="Arial"/>
          <w:sz w:val="16"/>
          <w:szCs w:val="16"/>
        </w:rPr>
        <w:t>e-mailem, Zgłoszenia otrzymane po godzinie 16:</w:t>
      </w:r>
      <w:r w:rsidRPr="009F0A90">
        <w:rPr>
          <w:rFonts w:ascii="Arial" w:hAnsi="Arial" w:cs="Arial"/>
          <w:sz w:val="16"/>
          <w:szCs w:val="16"/>
        </w:rPr>
        <w:t>00</w:t>
      </w:r>
      <w:r w:rsidRPr="009F0A90">
        <w:rPr>
          <w:rFonts w:ascii="Arial" w:hAnsi="Arial" w:cs="Arial"/>
          <w:sz w:val="16"/>
          <w:szCs w:val="16"/>
        </w:rPr>
        <w:t xml:space="preserve"> będą traktowane jako zgłoszenia otrzymane o 8:</w:t>
      </w:r>
      <w:r w:rsidRPr="009F0A90">
        <w:rPr>
          <w:rFonts w:ascii="Arial" w:hAnsi="Arial" w:cs="Arial"/>
          <w:sz w:val="16"/>
          <w:szCs w:val="16"/>
        </w:rPr>
        <w:t>00</w:t>
      </w:r>
      <w:r w:rsidRPr="009F0A90">
        <w:rPr>
          <w:rFonts w:ascii="Arial" w:hAnsi="Arial" w:cs="Arial"/>
          <w:sz w:val="16"/>
          <w:szCs w:val="16"/>
        </w:rPr>
        <w:t xml:space="preserve"> rano dnia następnego</w:t>
      </w:r>
      <w:r w:rsidRPr="009F0A90">
        <w:rPr>
          <w:rFonts w:ascii="Arial" w:hAnsi="Arial" w:cs="Arial"/>
          <w:sz w:val="16"/>
          <w:szCs w:val="16"/>
        </w:rPr>
        <w:t>.</w:t>
      </w:r>
    </w:p>
    <w:p w14:paraId="173DDD09" w14:textId="77777777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 xml:space="preserve">Wykonanie naprawy i usunięcie awarii (zakończenie naprawy) Urządzeń musi nastąpić w ciągu 10 dni roboczych od chwili zgłoszenia awarii drogą mailową do siedziby serwisu do momentu zwrotu Urządzeń po naprawie do siedziby </w:t>
      </w:r>
      <w:r w:rsidRPr="009F0A90">
        <w:rPr>
          <w:rFonts w:ascii="Arial" w:hAnsi="Arial" w:cs="Arial"/>
          <w:sz w:val="16"/>
          <w:szCs w:val="16"/>
        </w:rPr>
        <w:t>Zamawiającego</w:t>
      </w:r>
      <w:r w:rsidRPr="009F0A90">
        <w:rPr>
          <w:rFonts w:ascii="Arial" w:hAnsi="Arial" w:cs="Arial"/>
          <w:sz w:val="16"/>
          <w:szCs w:val="16"/>
        </w:rPr>
        <w:t>. Koszt odbioru sprzętu do naprawy i dostarczenia do siedziby użytkownika końcowego po naprawie ponosi Wykonawca.</w:t>
      </w:r>
    </w:p>
    <w:p w14:paraId="5840B8B6" w14:textId="76F43B8E" w:rsidR="00D46240" w:rsidRPr="009F0A90" w:rsidRDefault="00D4624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W przypadku niewykonania naprawy w terminie podanym, na okres przedłużającej się naprawy bądź usuwania awarii, Wykonawca dostarczy użytkownikowi końcowemu Urządzenie o parametrach technicznych nie gorszych niż podlegający wymianie, wolny od wad, równoważny funkcjonalnie co będzie traktowane jako procedura zastępcza.</w:t>
      </w:r>
    </w:p>
    <w:p w14:paraId="448BF6F5" w14:textId="0967EA52" w:rsidR="009F0A90" w:rsidRPr="009F0A90" w:rsidRDefault="009F0A90" w:rsidP="009F0A90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</w:rPr>
      </w:pPr>
      <w:r w:rsidRPr="009F0A90">
        <w:rPr>
          <w:rFonts w:ascii="Arial" w:hAnsi="Arial" w:cs="Arial"/>
          <w:sz w:val="16"/>
          <w:szCs w:val="16"/>
        </w:rPr>
        <w:t>Wykonawca zobowiązuje się zapłacić Zamawiającemu następujące kary umowne</w:t>
      </w:r>
      <w:r w:rsidRPr="009F0A9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100</w:t>
      </w:r>
      <w:r w:rsidRPr="009F0A90">
        <w:rPr>
          <w:rFonts w:ascii="Arial" w:hAnsi="Arial" w:cs="Arial"/>
          <w:sz w:val="16"/>
          <w:szCs w:val="16"/>
        </w:rPr>
        <w:t xml:space="preserve">,00 zł brutto z tytułu przekroczenia wymaganego czasu naprawy gwarancyjnej, o której mowa w </w:t>
      </w:r>
      <w:r>
        <w:rPr>
          <w:rFonts w:ascii="Arial" w:hAnsi="Arial" w:cs="Arial"/>
          <w:sz w:val="16"/>
          <w:szCs w:val="16"/>
        </w:rPr>
        <w:t>pkt 14</w:t>
      </w:r>
      <w:r w:rsidRPr="009F0A90">
        <w:rPr>
          <w:rFonts w:ascii="Arial" w:hAnsi="Arial" w:cs="Arial"/>
          <w:sz w:val="16"/>
          <w:szCs w:val="16"/>
        </w:rPr>
        <w:t xml:space="preserve"> za każdy dzień zwłoki w naprawie</w:t>
      </w:r>
      <w:r>
        <w:rPr>
          <w:rFonts w:ascii="Arial" w:hAnsi="Arial" w:cs="Arial"/>
          <w:sz w:val="16"/>
          <w:szCs w:val="16"/>
        </w:rPr>
        <w:t>.</w:t>
      </w:r>
    </w:p>
    <w:p w14:paraId="129DA33C" w14:textId="77777777" w:rsidR="009F0A90" w:rsidRPr="00D46240" w:rsidRDefault="009F0A90" w:rsidP="00D46240">
      <w:pPr>
        <w:jc w:val="both"/>
        <w:rPr>
          <w:rFonts w:ascii="Arial" w:hAnsi="Arial" w:cs="Arial"/>
          <w:sz w:val="16"/>
          <w:szCs w:val="16"/>
        </w:rPr>
      </w:pPr>
    </w:p>
    <w:sectPr w:rsidR="009F0A90" w:rsidRPr="00D46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E7694" w14:textId="77777777" w:rsidR="00DE3A85" w:rsidRDefault="00DE3A85" w:rsidP="00017291">
      <w:r>
        <w:separator/>
      </w:r>
    </w:p>
  </w:endnote>
  <w:endnote w:type="continuationSeparator" w:id="0">
    <w:p w14:paraId="50235D2A" w14:textId="77777777" w:rsidR="00DE3A85" w:rsidRDefault="00DE3A85" w:rsidP="000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D1DEA" w14:textId="77777777" w:rsidR="00DE3A85" w:rsidRDefault="00DE3A85" w:rsidP="00017291">
      <w:r>
        <w:separator/>
      </w:r>
    </w:p>
  </w:footnote>
  <w:footnote w:type="continuationSeparator" w:id="0">
    <w:p w14:paraId="4609FC49" w14:textId="77777777" w:rsidR="00DE3A85" w:rsidRDefault="00DE3A85" w:rsidP="00017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5290C"/>
    <w:multiLevelType w:val="hybridMultilevel"/>
    <w:tmpl w:val="C68A3C76"/>
    <w:lvl w:ilvl="0" w:tplc="AB44DC5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E348C3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B170B6"/>
    <w:multiLevelType w:val="hybridMultilevel"/>
    <w:tmpl w:val="7D242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874"/>
    <w:multiLevelType w:val="hybridMultilevel"/>
    <w:tmpl w:val="FE8E2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6005F"/>
    <w:multiLevelType w:val="hybridMultilevel"/>
    <w:tmpl w:val="EAF2CD18"/>
    <w:lvl w:ilvl="0" w:tplc="8AAC7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1F929670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E73FE"/>
    <w:multiLevelType w:val="hybridMultilevel"/>
    <w:tmpl w:val="F4087782"/>
    <w:lvl w:ilvl="0" w:tplc="178002A2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E348C3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2DEF"/>
    <w:multiLevelType w:val="hybridMultilevel"/>
    <w:tmpl w:val="5D8C1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005881">
    <w:abstractNumId w:val="2"/>
  </w:num>
  <w:num w:numId="2" w16cid:durableId="4479057">
    <w:abstractNumId w:val="5"/>
  </w:num>
  <w:num w:numId="3" w16cid:durableId="324433166">
    <w:abstractNumId w:val="0"/>
  </w:num>
  <w:num w:numId="4" w16cid:durableId="22302957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149053726">
    <w:abstractNumId w:val="4"/>
  </w:num>
  <w:num w:numId="6" w16cid:durableId="1295139549">
    <w:abstractNumId w:val="3"/>
  </w:num>
  <w:num w:numId="7" w16cid:durableId="195121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91"/>
    <w:rsid w:val="00017291"/>
    <w:rsid w:val="0012320A"/>
    <w:rsid w:val="00421429"/>
    <w:rsid w:val="00433AE7"/>
    <w:rsid w:val="008A0408"/>
    <w:rsid w:val="009F0A90"/>
    <w:rsid w:val="00D46240"/>
    <w:rsid w:val="00D96FB8"/>
    <w:rsid w:val="00D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4DB079"/>
  <w15:chartTrackingRefBased/>
  <w15:docId w15:val="{1CF514B8-9CAA-4DC9-8F91-10987FA4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2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7291"/>
  </w:style>
  <w:style w:type="paragraph" w:styleId="Stopka">
    <w:name w:val="footer"/>
    <w:basedOn w:val="Normalny"/>
    <w:link w:val="StopkaZnak"/>
    <w:uiPriority w:val="99"/>
    <w:unhideWhenUsed/>
    <w:rsid w:val="000172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7291"/>
  </w:style>
  <w:style w:type="table" w:customStyle="1" w:styleId="Tabela-Siatka9">
    <w:name w:val="Tabela - Siatka9"/>
    <w:basedOn w:val="Standardowy"/>
    <w:next w:val="Tabela-Siatka"/>
    <w:uiPriority w:val="59"/>
    <w:rsid w:val="0001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17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2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2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2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F0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9BFA01BD-1328-493B-B90B-D8DF1BCFD2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Piotrkowicz Anna</dc:creator>
  <cp:keywords/>
  <dc:description/>
  <cp:lastModifiedBy>Piotrkowicz Anna</cp:lastModifiedBy>
  <cp:revision>2</cp:revision>
  <dcterms:created xsi:type="dcterms:W3CDTF">2023-11-29T16:43:00Z</dcterms:created>
  <dcterms:modified xsi:type="dcterms:W3CDTF">2023-11-29T16:43:00Z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32316085-9a58-4261-90a8-bda584f95d1a</vt:lpwstr>
  </property>
  <property fmtid="{D5CDD505-2E9C-101B-9397-08002B2CF9AE}" pid="3" name="bjClsUserRVM">
    <vt:lpwstr>[]</vt:lpwstr>
  </property>
  <property fmtid="{D5CDD505-2E9C-101B-9397-08002B2CF9AE}" pid="4" name="bjSaver">
    <vt:lpwstr>nfCYLTGcHiTcfjjcx5QlwboVpk7HVQU5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