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710" w:rsidRDefault="00EE1710" w:rsidP="00EE1710">
      <w:pPr>
        <w:keepNext/>
        <w:shd w:val="clear" w:color="auto" w:fill="E6E6E6"/>
        <w:tabs>
          <w:tab w:val="left" w:pos="142"/>
          <w:tab w:val="num" w:pos="1985"/>
        </w:tabs>
        <w:spacing w:after="0" w:line="240" w:lineRule="auto"/>
        <w:ind w:left="1701" w:hanging="1701"/>
        <w:outlineLvl w:val="0"/>
        <w:rPr>
          <w:rFonts w:ascii="Times New Roman" w:eastAsia="Calibri" w:hAnsi="Times New Roman" w:cs="Times New Roman"/>
          <w:sz w:val="24"/>
          <w:szCs w:val="24"/>
        </w:rPr>
      </w:pPr>
      <w:bookmarkStart w:id="0" w:name="_Toc282636763"/>
      <w:bookmarkStart w:id="1" w:name="_Toc254071186"/>
      <w:r w:rsidRPr="00EE1710">
        <w:rPr>
          <w:rFonts w:ascii="Times New Roman" w:eastAsia="Calibri" w:hAnsi="Times New Roman" w:cs="Times New Roman"/>
          <w:b/>
          <w:sz w:val="24"/>
          <w:szCs w:val="24"/>
          <w:u w:val="single"/>
          <w:lang w:val="x-none"/>
        </w:rPr>
        <w:t xml:space="preserve">Załącznik nr </w:t>
      </w:r>
      <w:r w:rsidR="00F922AC">
        <w:rPr>
          <w:rFonts w:ascii="Times New Roman" w:eastAsia="Calibri" w:hAnsi="Times New Roman" w:cs="Times New Roman"/>
          <w:b/>
          <w:sz w:val="24"/>
          <w:szCs w:val="24"/>
          <w:u w:val="single"/>
        </w:rPr>
        <w:t>5</w:t>
      </w:r>
      <w:r>
        <w:rPr>
          <w:rFonts w:ascii="Times New Roman" w:eastAsia="Calibri" w:hAnsi="Times New Roman" w:cs="Times New Roman"/>
          <w:b/>
          <w:sz w:val="24"/>
          <w:szCs w:val="24"/>
          <w:u w:val="single"/>
        </w:rPr>
        <w:t xml:space="preserve"> do SWZ: </w:t>
      </w:r>
      <w:r w:rsidRPr="00EE1710">
        <w:rPr>
          <w:rFonts w:ascii="Times New Roman" w:eastAsia="Calibri" w:hAnsi="Times New Roman" w:cs="Times New Roman"/>
          <w:sz w:val="24"/>
          <w:szCs w:val="24"/>
          <w:lang w:val="x-none"/>
        </w:rPr>
        <w:t xml:space="preserve"> </w:t>
      </w:r>
      <w:bookmarkEnd w:id="0"/>
      <w:bookmarkEnd w:id="1"/>
      <w:r>
        <w:rPr>
          <w:rFonts w:ascii="Times New Roman" w:eastAsia="Calibri" w:hAnsi="Times New Roman" w:cs="Times New Roman"/>
          <w:sz w:val="24"/>
          <w:szCs w:val="24"/>
        </w:rPr>
        <w:t>OPIS PRZEDMIOTU ZAMÓWIENIA</w:t>
      </w:r>
    </w:p>
    <w:p w:rsidR="00EE1710" w:rsidRDefault="00EE1710" w:rsidP="004E1C0C">
      <w:pPr>
        <w:widowControl w:val="0"/>
        <w:autoSpaceDE w:val="0"/>
        <w:autoSpaceDN w:val="0"/>
        <w:spacing w:before="100" w:after="0" w:line="360" w:lineRule="auto"/>
        <w:ind w:right="147"/>
        <w:rPr>
          <w:rFonts w:ascii="Times New Roman" w:hAnsi="Times New Roman" w:cs="Times New Roman"/>
          <w:b/>
          <w:i/>
        </w:rPr>
      </w:pPr>
    </w:p>
    <w:p w:rsidR="009214D3" w:rsidRPr="004E1C0C" w:rsidRDefault="009214D3" w:rsidP="004E1C0C">
      <w:pPr>
        <w:widowControl w:val="0"/>
        <w:tabs>
          <w:tab w:val="left" w:pos="823"/>
        </w:tabs>
        <w:autoSpaceDE w:val="0"/>
        <w:autoSpaceDN w:val="0"/>
        <w:spacing w:before="100" w:after="0" w:line="360" w:lineRule="auto"/>
        <w:ind w:left="822" w:right="147"/>
        <w:jc w:val="center"/>
        <w:rPr>
          <w:rFonts w:ascii="Times New Roman" w:eastAsia="Times New Roman" w:hAnsi="Times New Roman" w:cs="Times New Roman"/>
          <w:b/>
          <w:i/>
          <w:sz w:val="20"/>
          <w:szCs w:val="20"/>
          <w:lang w:eastAsia="pl-PL"/>
        </w:rPr>
      </w:pPr>
      <w:r w:rsidRPr="009214D3">
        <w:rPr>
          <w:rFonts w:ascii="Times New Roman" w:eastAsia="Times New Roman" w:hAnsi="Times New Roman" w:cs="Times New Roman"/>
          <w:b/>
          <w:i/>
          <w:sz w:val="20"/>
          <w:szCs w:val="20"/>
          <w:lang w:eastAsia="pl-PL"/>
        </w:rPr>
        <w:t>„</w:t>
      </w:r>
      <w:r w:rsidR="00F922AC">
        <w:rPr>
          <w:b/>
          <w:i/>
          <w:sz w:val="20"/>
          <w:szCs w:val="20"/>
        </w:rPr>
        <w:t>Zakup sprzętu komputerowego wraz z oprogramowaniem</w:t>
      </w:r>
      <w:r w:rsidRPr="009214D3">
        <w:rPr>
          <w:rFonts w:ascii="Times New Roman" w:eastAsia="Times New Roman" w:hAnsi="Times New Roman" w:cs="Times New Roman"/>
          <w:b/>
          <w:i/>
          <w:sz w:val="20"/>
          <w:szCs w:val="20"/>
          <w:lang w:eastAsia="pl-PL"/>
        </w:rPr>
        <w:t>”</w:t>
      </w:r>
    </w:p>
    <w:p w:rsidR="003D3236" w:rsidRPr="003D3236" w:rsidRDefault="003D3236" w:rsidP="003D3236">
      <w:pPr>
        <w:widowControl w:val="0"/>
        <w:numPr>
          <w:ilvl w:val="0"/>
          <w:numId w:val="3"/>
        </w:numPr>
        <w:tabs>
          <w:tab w:val="left" w:pos="823"/>
        </w:tabs>
        <w:autoSpaceDE w:val="0"/>
        <w:autoSpaceDN w:val="0"/>
        <w:spacing w:before="100" w:after="0" w:line="360" w:lineRule="auto"/>
        <w:ind w:right="147"/>
        <w:jc w:val="both"/>
        <w:rPr>
          <w:rFonts w:ascii="Times New Roman" w:eastAsia="Times New Roman" w:hAnsi="Times New Roman" w:cs="Times New Roman"/>
          <w:sz w:val="20"/>
          <w:szCs w:val="20"/>
          <w:lang w:eastAsia="pl-PL"/>
        </w:rPr>
      </w:pPr>
      <w:r w:rsidRPr="003D3236">
        <w:rPr>
          <w:rFonts w:ascii="Times New Roman" w:eastAsia="Times New Roman" w:hAnsi="Times New Roman" w:cs="Times New Roman"/>
          <w:sz w:val="20"/>
          <w:szCs w:val="20"/>
          <w:lang w:eastAsia="pl-PL"/>
        </w:rPr>
        <w:t xml:space="preserve">Przedmiotem zamówienia jest </w:t>
      </w:r>
      <w:bookmarkStart w:id="2" w:name="_Hlk105671846"/>
      <w:r w:rsidR="00B00C3A">
        <w:rPr>
          <w:rFonts w:ascii="Times New Roman" w:eastAsia="Times New Roman" w:hAnsi="Times New Roman" w:cs="Times New Roman"/>
          <w:b/>
          <w:sz w:val="20"/>
          <w:szCs w:val="20"/>
          <w:lang w:eastAsia="pl-PL"/>
        </w:rPr>
        <w:t xml:space="preserve">dostawa fabrycznie nowego sprzętu komputerowego wraz </w:t>
      </w:r>
      <w:r w:rsidR="00B00C3A">
        <w:rPr>
          <w:rFonts w:ascii="Times New Roman" w:eastAsia="Times New Roman" w:hAnsi="Times New Roman" w:cs="Times New Roman"/>
          <w:b/>
          <w:sz w:val="20"/>
          <w:szCs w:val="20"/>
          <w:lang w:eastAsia="pl-PL"/>
        </w:rPr>
        <w:br/>
        <w:t>z oprogramowaniem</w:t>
      </w:r>
      <w:r w:rsidRPr="003D3236">
        <w:rPr>
          <w:rFonts w:ascii="Times New Roman" w:eastAsia="Times New Roman" w:hAnsi="Times New Roman" w:cs="Times New Roman"/>
          <w:b/>
          <w:sz w:val="20"/>
          <w:szCs w:val="20"/>
          <w:lang w:eastAsia="pl-PL"/>
        </w:rPr>
        <w:t xml:space="preserve"> </w:t>
      </w:r>
      <w:bookmarkEnd w:id="2"/>
      <w:r w:rsidRPr="003D3236">
        <w:rPr>
          <w:rFonts w:ascii="Times New Roman" w:eastAsia="Times New Roman" w:hAnsi="Times New Roman" w:cs="Times New Roman"/>
          <w:sz w:val="20"/>
          <w:szCs w:val="20"/>
          <w:lang w:eastAsia="pl-PL"/>
        </w:rPr>
        <w:t>do siedziby Zamawiającego.</w:t>
      </w:r>
    </w:p>
    <w:p w:rsidR="003D3236" w:rsidRPr="002F39A0" w:rsidRDefault="003D3236" w:rsidP="002F39A0">
      <w:pPr>
        <w:widowControl w:val="0"/>
        <w:numPr>
          <w:ilvl w:val="0"/>
          <w:numId w:val="3"/>
        </w:numPr>
        <w:tabs>
          <w:tab w:val="left" w:pos="823"/>
        </w:tabs>
        <w:autoSpaceDE w:val="0"/>
        <w:autoSpaceDN w:val="0"/>
        <w:spacing w:before="61" w:after="0" w:line="360" w:lineRule="auto"/>
        <w:ind w:right="148"/>
        <w:jc w:val="both"/>
        <w:rPr>
          <w:rFonts w:ascii="Times New Roman" w:eastAsia="Times New Roman" w:hAnsi="Times New Roman" w:cs="Times New Roman"/>
          <w:sz w:val="20"/>
          <w:szCs w:val="20"/>
          <w:lang w:eastAsia="pl-PL"/>
        </w:rPr>
      </w:pPr>
      <w:r w:rsidRPr="003D3236">
        <w:rPr>
          <w:rFonts w:ascii="Times New Roman" w:eastAsia="Times New Roman" w:hAnsi="Times New Roman" w:cs="Times New Roman"/>
          <w:sz w:val="20"/>
          <w:szCs w:val="20"/>
          <w:lang w:eastAsia="pl-PL"/>
        </w:rPr>
        <w:t xml:space="preserve">Dostarczany sprzęt musi być wolny od wszelkich wad i uszkodzeń, musi posiadać odpowiednie okablowanie, zasilacze oraz wszystkie inne komponenty zapewniające właściwą instalację </w:t>
      </w:r>
      <w:r w:rsidR="00B00C3A">
        <w:rPr>
          <w:rFonts w:ascii="Times New Roman" w:eastAsia="Times New Roman" w:hAnsi="Times New Roman" w:cs="Times New Roman"/>
          <w:sz w:val="20"/>
          <w:szCs w:val="20"/>
          <w:lang w:eastAsia="pl-PL"/>
        </w:rPr>
        <w:br/>
      </w:r>
      <w:r w:rsidRPr="003D3236">
        <w:rPr>
          <w:rFonts w:ascii="Times New Roman" w:eastAsia="Times New Roman" w:hAnsi="Times New Roman" w:cs="Times New Roman"/>
          <w:sz w:val="20"/>
          <w:szCs w:val="20"/>
          <w:lang w:eastAsia="pl-PL"/>
        </w:rPr>
        <w:t>i użytkowanie.</w:t>
      </w:r>
    </w:p>
    <w:p w:rsidR="003D3236" w:rsidRPr="003D3236" w:rsidRDefault="003D3236" w:rsidP="003D3236">
      <w:pPr>
        <w:widowControl w:val="0"/>
        <w:numPr>
          <w:ilvl w:val="0"/>
          <w:numId w:val="3"/>
        </w:numPr>
        <w:tabs>
          <w:tab w:val="left" w:pos="823"/>
        </w:tabs>
        <w:autoSpaceDE w:val="0"/>
        <w:autoSpaceDN w:val="0"/>
        <w:spacing w:before="60" w:after="0" w:line="360" w:lineRule="auto"/>
        <w:ind w:right="149"/>
        <w:jc w:val="both"/>
        <w:rPr>
          <w:rFonts w:ascii="Times New Roman" w:eastAsia="Times New Roman" w:hAnsi="Times New Roman" w:cs="Times New Roman"/>
          <w:sz w:val="20"/>
          <w:szCs w:val="20"/>
          <w:lang w:eastAsia="pl-PL"/>
        </w:rPr>
      </w:pPr>
      <w:r w:rsidRPr="003D3236">
        <w:rPr>
          <w:rFonts w:ascii="Times New Roman" w:eastAsia="Times New Roman" w:hAnsi="Times New Roman" w:cs="Times New Roman"/>
          <w:sz w:val="20"/>
          <w:szCs w:val="20"/>
          <w:lang w:eastAsia="pl-PL"/>
        </w:rPr>
        <w:t xml:space="preserve">Wykonawca    zobowiązany    jest     wykonać     przedmiot     zamówienia     zgodnie  z      wymaganiami   </w:t>
      </w:r>
      <w:r>
        <w:rPr>
          <w:rFonts w:ascii="Times New Roman" w:eastAsia="Times New Roman" w:hAnsi="Times New Roman" w:cs="Times New Roman"/>
          <w:sz w:val="20"/>
          <w:szCs w:val="20"/>
          <w:lang w:eastAsia="pl-PL"/>
        </w:rPr>
        <w:t xml:space="preserve">   określonymi      w</w:t>
      </w:r>
      <w:r w:rsidRPr="003D3236">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Specyfikacji    Warunków</w:t>
      </w:r>
      <w:r w:rsidRPr="003D3236">
        <w:rPr>
          <w:rFonts w:ascii="Times New Roman" w:eastAsia="Times New Roman" w:hAnsi="Times New Roman" w:cs="Times New Roman"/>
          <w:sz w:val="20"/>
          <w:szCs w:val="20"/>
          <w:lang w:eastAsia="pl-PL"/>
        </w:rPr>
        <w:t xml:space="preserve"> Zamówienia i postanowieniami projektu umowy oraz zasadami wiedzy technicznej, zasadami należytej staranności oraz obowiązującymi normami </w:t>
      </w:r>
      <w:r>
        <w:rPr>
          <w:rFonts w:ascii="Times New Roman" w:eastAsia="Times New Roman" w:hAnsi="Times New Roman" w:cs="Times New Roman"/>
          <w:sz w:val="20"/>
          <w:szCs w:val="20"/>
          <w:lang w:eastAsia="pl-PL"/>
        </w:rPr>
        <w:br/>
      </w:r>
      <w:r w:rsidRPr="003D3236">
        <w:rPr>
          <w:rFonts w:ascii="Times New Roman" w:eastAsia="Times New Roman" w:hAnsi="Times New Roman" w:cs="Times New Roman"/>
          <w:sz w:val="20"/>
          <w:szCs w:val="20"/>
          <w:lang w:eastAsia="pl-PL"/>
        </w:rPr>
        <w:t>i przepisami.</w:t>
      </w:r>
    </w:p>
    <w:p w:rsidR="003D3236" w:rsidRPr="003D3236" w:rsidRDefault="003D3236" w:rsidP="003D3236">
      <w:pPr>
        <w:widowControl w:val="0"/>
        <w:numPr>
          <w:ilvl w:val="0"/>
          <w:numId w:val="3"/>
        </w:numPr>
        <w:tabs>
          <w:tab w:val="left" w:pos="823"/>
        </w:tabs>
        <w:autoSpaceDE w:val="0"/>
        <w:autoSpaceDN w:val="0"/>
        <w:spacing w:before="61" w:after="0" w:line="360" w:lineRule="auto"/>
        <w:ind w:right="156"/>
        <w:jc w:val="both"/>
        <w:rPr>
          <w:rFonts w:ascii="Times New Roman" w:eastAsia="Times New Roman" w:hAnsi="Times New Roman" w:cs="Times New Roman"/>
          <w:sz w:val="20"/>
          <w:szCs w:val="20"/>
          <w:lang w:eastAsia="pl-PL"/>
        </w:rPr>
      </w:pPr>
      <w:r w:rsidRPr="003D3236">
        <w:rPr>
          <w:rFonts w:ascii="Times New Roman" w:eastAsia="Times New Roman" w:hAnsi="Times New Roman" w:cs="Times New Roman"/>
          <w:sz w:val="20"/>
          <w:szCs w:val="20"/>
          <w:lang w:eastAsia="pl-PL"/>
        </w:rPr>
        <w:t>Wykonawca dostarczy przedmiot zamówienia na własny koszt i ryzyko do siedziby Zamawiającego.</w:t>
      </w:r>
    </w:p>
    <w:p w:rsidR="003D3236" w:rsidRPr="003D3236" w:rsidRDefault="003D3236" w:rsidP="003D3236">
      <w:pPr>
        <w:widowControl w:val="0"/>
        <w:numPr>
          <w:ilvl w:val="0"/>
          <w:numId w:val="3"/>
        </w:numPr>
        <w:tabs>
          <w:tab w:val="left" w:pos="823"/>
        </w:tabs>
        <w:autoSpaceDE w:val="0"/>
        <w:autoSpaceDN w:val="0"/>
        <w:spacing w:before="64" w:after="0" w:line="360" w:lineRule="auto"/>
        <w:ind w:right="149"/>
        <w:jc w:val="both"/>
        <w:rPr>
          <w:rFonts w:ascii="Times New Roman" w:eastAsia="Times New Roman" w:hAnsi="Times New Roman" w:cs="Times New Roman"/>
          <w:sz w:val="20"/>
          <w:szCs w:val="20"/>
          <w:lang w:eastAsia="pl-PL"/>
        </w:rPr>
      </w:pPr>
      <w:r w:rsidRPr="003D3236">
        <w:rPr>
          <w:rFonts w:ascii="Times New Roman" w:eastAsia="Times New Roman" w:hAnsi="Times New Roman" w:cs="Times New Roman"/>
          <w:sz w:val="20"/>
          <w:szCs w:val="20"/>
          <w:lang w:eastAsia="pl-PL"/>
        </w:rPr>
        <w:t>Wymagany minima</w:t>
      </w:r>
      <w:r w:rsidR="00265007">
        <w:rPr>
          <w:rFonts w:ascii="Times New Roman" w:eastAsia="Times New Roman" w:hAnsi="Times New Roman" w:cs="Times New Roman"/>
          <w:sz w:val="20"/>
          <w:szCs w:val="20"/>
          <w:lang w:eastAsia="pl-PL"/>
        </w:rPr>
        <w:t>lny okres gwarancji oferowanego sprzętu komputerowego</w:t>
      </w:r>
      <w:bookmarkStart w:id="3" w:name="_GoBack"/>
      <w:bookmarkEnd w:id="3"/>
      <w:r w:rsidRPr="003D3236">
        <w:rPr>
          <w:rFonts w:ascii="Times New Roman" w:eastAsia="Times New Roman" w:hAnsi="Times New Roman" w:cs="Times New Roman"/>
          <w:sz w:val="20"/>
          <w:szCs w:val="20"/>
          <w:lang w:eastAsia="pl-PL"/>
        </w:rPr>
        <w:t xml:space="preserve"> – </w:t>
      </w:r>
      <w:r w:rsidRPr="003D3236">
        <w:rPr>
          <w:rFonts w:ascii="Times New Roman" w:eastAsia="Times New Roman" w:hAnsi="Times New Roman" w:cs="Times New Roman"/>
          <w:b/>
          <w:sz w:val="20"/>
          <w:szCs w:val="20"/>
          <w:lang w:eastAsia="pl-PL"/>
        </w:rPr>
        <w:t xml:space="preserve">2 lata </w:t>
      </w:r>
      <w:r w:rsidRPr="003D3236">
        <w:rPr>
          <w:rFonts w:ascii="Times New Roman" w:eastAsia="Times New Roman" w:hAnsi="Times New Roman" w:cs="Times New Roman"/>
          <w:sz w:val="20"/>
          <w:szCs w:val="20"/>
          <w:lang w:eastAsia="pl-PL"/>
        </w:rPr>
        <w:t>liczone od dnia odbioru końcowego przedmiotu zamówienia świadczona na miejscu u klienta.</w:t>
      </w:r>
    </w:p>
    <w:p w:rsidR="003D3236" w:rsidRPr="003D3236" w:rsidRDefault="003D3236" w:rsidP="003D3236">
      <w:pPr>
        <w:widowControl w:val="0"/>
        <w:numPr>
          <w:ilvl w:val="0"/>
          <w:numId w:val="3"/>
        </w:numPr>
        <w:tabs>
          <w:tab w:val="left" w:pos="823"/>
        </w:tabs>
        <w:autoSpaceDE w:val="0"/>
        <w:autoSpaceDN w:val="0"/>
        <w:spacing w:before="122" w:after="0" w:line="360" w:lineRule="auto"/>
        <w:ind w:right="149"/>
        <w:jc w:val="both"/>
        <w:rPr>
          <w:rFonts w:ascii="Times New Roman" w:eastAsia="Times New Roman" w:hAnsi="Times New Roman" w:cs="Times New Roman"/>
          <w:sz w:val="20"/>
          <w:szCs w:val="20"/>
          <w:lang w:eastAsia="pl-PL"/>
        </w:rPr>
      </w:pPr>
      <w:r w:rsidRPr="003D3236">
        <w:rPr>
          <w:rFonts w:ascii="Times New Roman" w:eastAsia="Times New Roman" w:hAnsi="Times New Roman" w:cs="Times New Roman"/>
          <w:sz w:val="20"/>
          <w:szCs w:val="20"/>
          <w:lang w:eastAsia="pl-PL"/>
        </w:rPr>
        <w:t>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w wystarczająco precyzyjny i zrozumiały sposób i jest to uzasadnione specyfiką przedmiotu zamówienia. W takich sytuacjach ewentualne wskazania na znaki towarowe, patenty, pochodzenie, źródło lub szcze</w:t>
      </w:r>
      <w:r>
        <w:rPr>
          <w:rFonts w:ascii="Times New Roman" w:eastAsia="Times New Roman" w:hAnsi="Times New Roman" w:cs="Times New Roman"/>
          <w:sz w:val="20"/>
          <w:szCs w:val="20"/>
          <w:lang w:eastAsia="pl-PL"/>
        </w:rPr>
        <w:t>gólny proces, należy odczytywać</w:t>
      </w:r>
      <w:r w:rsidRPr="003D3236">
        <w:rPr>
          <w:rFonts w:ascii="Times New Roman" w:eastAsia="Times New Roman" w:hAnsi="Times New Roman" w:cs="Times New Roman"/>
          <w:sz w:val="20"/>
          <w:szCs w:val="20"/>
          <w:lang w:eastAsia="pl-PL"/>
        </w:rPr>
        <w:t xml:space="preserve"> z wyrazami </w:t>
      </w:r>
      <w:r w:rsidRPr="003D3236">
        <w:rPr>
          <w:rFonts w:ascii="Times New Roman" w:eastAsia="Times New Roman" w:hAnsi="Times New Roman" w:cs="Times New Roman"/>
          <w:i/>
          <w:sz w:val="20"/>
          <w:szCs w:val="20"/>
          <w:lang w:eastAsia="pl-PL"/>
        </w:rPr>
        <w:t>„lub równoważne”</w:t>
      </w:r>
      <w:r w:rsidRPr="003D3236">
        <w:rPr>
          <w:rFonts w:ascii="Times New Roman" w:eastAsia="Times New Roman" w:hAnsi="Times New Roman" w:cs="Times New Roman"/>
          <w:sz w:val="20"/>
          <w:szCs w:val="20"/>
          <w:lang w:eastAsia="pl-PL"/>
        </w:rPr>
        <w:t>.</w:t>
      </w:r>
    </w:p>
    <w:p w:rsidR="003D3236" w:rsidRPr="003D3236" w:rsidRDefault="003D3236" w:rsidP="003D3236">
      <w:pPr>
        <w:widowControl w:val="0"/>
        <w:numPr>
          <w:ilvl w:val="0"/>
          <w:numId w:val="3"/>
        </w:numPr>
        <w:tabs>
          <w:tab w:val="left" w:pos="823"/>
        </w:tabs>
        <w:autoSpaceDE w:val="0"/>
        <w:autoSpaceDN w:val="0"/>
        <w:spacing w:before="120" w:after="0" w:line="360" w:lineRule="auto"/>
        <w:ind w:right="147"/>
        <w:jc w:val="both"/>
        <w:rPr>
          <w:rFonts w:ascii="Times New Roman" w:eastAsia="Times New Roman" w:hAnsi="Times New Roman" w:cs="Times New Roman"/>
          <w:sz w:val="20"/>
          <w:szCs w:val="20"/>
          <w:lang w:eastAsia="pl-PL"/>
        </w:rPr>
      </w:pPr>
      <w:r w:rsidRPr="003D3236">
        <w:rPr>
          <w:rFonts w:ascii="Times New Roman" w:eastAsia="Times New Roman" w:hAnsi="Times New Roman" w:cs="Times New Roman"/>
          <w:sz w:val="20"/>
          <w:szCs w:val="20"/>
          <w:lang w:eastAsia="pl-PL"/>
        </w:rPr>
        <w:t xml:space="preserve">W sytuacjach, kiedy Zamawiający opisuje przedmiot zamówienia poprzez odniesienie się do norm, ocen technicznych, specyfikacji technicznych i systemów referencji technicznych, o których mowa w art. 101 ust. 1 pkt 2 oraz ust. 3 </w:t>
      </w:r>
      <w:proofErr w:type="spellStart"/>
      <w:r w:rsidRPr="003D3236">
        <w:rPr>
          <w:rFonts w:ascii="Times New Roman" w:eastAsia="Times New Roman" w:hAnsi="Times New Roman" w:cs="Times New Roman"/>
          <w:i/>
          <w:sz w:val="20"/>
          <w:szCs w:val="20"/>
          <w:lang w:eastAsia="pl-PL"/>
        </w:rPr>
        <w:t>Pzp</w:t>
      </w:r>
      <w:proofErr w:type="spellEnd"/>
      <w:r w:rsidRPr="003D3236">
        <w:rPr>
          <w:rFonts w:ascii="Times New Roman" w:eastAsia="Times New Roman" w:hAnsi="Times New Roman" w:cs="Times New Roman"/>
          <w:sz w:val="20"/>
          <w:szCs w:val="20"/>
          <w:lang w:eastAsia="pl-PL"/>
        </w:rPr>
        <w:t xml:space="preserve">, Zamawiający dopuszcza rozwiązania równoważne opisywanym, a wskazane powyżej odniesienia należy odczytywać z wyrazami </w:t>
      </w:r>
      <w:r w:rsidRPr="003D3236">
        <w:rPr>
          <w:rFonts w:ascii="Times New Roman" w:eastAsia="Times New Roman" w:hAnsi="Times New Roman" w:cs="Times New Roman"/>
          <w:i/>
          <w:sz w:val="20"/>
          <w:szCs w:val="20"/>
          <w:lang w:eastAsia="pl-PL"/>
        </w:rPr>
        <w:t>„lub równoważne”</w:t>
      </w:r>
      <w:r w:rsidRPr="003D3236">
        <w:rPr>
          <w:rFonts w:ascii="Times New Roman" w:eastAsia="Times New Roman" w:hAnsi="Times New Roman" w:cs="Times New Roman"/>
          <w:sz w:val="20"/>
          <w:szCs w:val="20"/>
          <w:lang w:eastAsia="pl-PL"/>
        </w:rPr>
        <w:t>.</w:t>
      </w:r>
    </w:p>
    <w:p w:rsidR="004E1C0C" w:rsidRPr="004E1C0C" w:rsidRDefault="003D3236" w:rsidP="004E1C0C">
      <w:pPr>
        <w:widowControl w:val="0"/>
        <w:numPr>
          <w:ilvl w:val="0"/>
          <w:numId w:val="3"/>
        </w:numPr>
        <w:tabs>
          <w:tab w:val="left" w:pos="823"/>
        </w:tabs>
        <w:autoSpaceDE w:val="0"/>
        <w:autoSpaceDN w:val="0"/>
        <w:spacing w:before="121" w:after="0" w:line="360" w:lineRule="auto"/>
        <w:ind w:right="149"/>
        <w:jc w:val="both"/>
        <w:rPr>
          <w:rFonts w:ascii="Times New Roman" w:eastAsia="Times New Roman" w:hAnsi="Times New Roman" w:cs="Times New Roman"/>
          <w:sz w:val="20"/>
          <w:szCs w:val="20"/>
          <w:lang w:eastAsia="pl-PL"/>
        </w:rPr>
      </w:pPr>
      <w:r w:rsidRPr="003D3236">
        <w:rPr>
          <w:rFonts w:ascii="Times New Roman" w:eastAsia="Times New Roman" w:hAnsi="Times New Roman" w:cs="Times New Roman"/>
          <w:sz w:val="20"/>
          <w:szCs w:val="20"/>
          <w:lang w:eastAsia="pl-PL"/>
        </w:rPr>
        <w:t xml:space="preserve">Pod pojęciem rozwiązań równoważnych Zamawiający rozumie taki sprzęt, który posiada parametry techniczne i funkcjonalne spełniające co najmniej warunki określone </w:t>
      </w:r>
      <w:r>
        <w:rPr>
          <w:rFonts w:ascii="Times New Roman" w:eastAsia="Times New Roman" w:hAnsi="Times New Roman" w:cs="Times New Roman"/>
          <w:sz w:val="20"/>
          <w:szCs w:val="20"/>
          <w:lang w:eastAsia="pl-PL"/>
        </w:rPr>
        <w:t>w opisie przedmiotu zamówienia.</w:t>
      </w:r>
      <w:r w:rsidRPr="003D3236">
        <w:rPr>
          <w:rFonts w:ascii="Times New Roman" w:eastAsia="Times New Roman" w:hAnsi="Times New Roman" w:cs="Times New Roman"/>
          <w:sz w:val="20"/>
          <w:szCs w:val="20"/>
          <w:lang w:eastAsia="pl-PL"/>
        </w:rPr>
        <w:t xml:space="preserve"> Wykonawca, który powołuje się na rozwiązania równoważne opisywanym przez Zamawiającego, jest obowiązany udowodnić w ofercie, że proponowane rozwiązania </w:t>
      </w:r>
      <w:r w:rsidR="00B00C3A">
        <w:rPr>
          <w:rFonts w:ascii="Times New Roman" w:eastAsia="Times New Roman" w:hAnsi="Times New Roman" w:cs="Times New Roman"/>
          <w:sz w:val="20"/>
          <w:szCs w:val="20"/>
          <w:lang w:eastAsia="pl-PL"/>
        </w:rPr>
        <w:br/>
      </w:r>
      <w:r w:rsidRPr="003D3236">
        <w:rPr>
          <w:rFonts w:ascii="Times New Roman" w:eastAsia="Times New Roman" w:hAnsi="Times New Roman" w:cs="Times New Roman"/>
          <w:sz w:val="20"/>
          <w:szCs w:val="20"/>
          <w:lang w:eastAsia="pl-PL"/>
        </w:rPr>
        <w:t>w równoważnym stopniu spełniają wymagania określone w szczegółowym opisie przedmiotu zamówienia.</w:t>
      </w:r>
    </w:p>
    <w:tbl>
      <w:tblPr>
        <w:tblStyle w:val="Tabela-Siatka1"/>
        <w:tblW w:w="0" w:type="auto"/>
        <w:tblLook w:val="04A0" w:firstRow="1" w:lastRow="0" w:firstColumn="1" w:lastColumn="0" w:noHBand="0" w:noVBand="1"/>
      </w:tblPr>
      <w:tblGrid>
        <w:gridCol w:w="3256"/>
        <w:gridCol w:w="5806"/>
      </w:tblGrid>
      <w:tr w:rsidR="004E1C0C" w:rsidRPr="004E1C0C" w:rsidTr="00EE4BF7">
        <w:tc>
          <w:tcPr>
            <w:tcW w:w="3256" w:type="dxa"/>
          </w:tcPr>
          <w:p w:rsidR="004E1C0C" w:rsidRPr="004E1C0C" w:rsidRDefault="004E1C0C" w:rsidP="004E1C0C">
            <w:pPr>
              <w:rPr>
                <w:rFonts w:ascii="Calibri" w:eastAsia="Calibri" w:hAnsi="Calibri" w:cs="Times New Roman"/>
                <w:b/>
                <w:bCs/>
              </w:rPr>
            </w:pPr>
            <w:r w:rsidRPr="004E1C0C">
              <w:rPr>
                <w:rFonts w:ascii="Calibri" w:eastAsia="Calibri" w:hAnsi="Calibri" w:cs="Times New Roman"/>
                <w:b/>
                <w:bCs/>
              </w:rPr>
              <w:t>Przedmiot zamówienia:</w:t>
            </w:r>
          </w:p>
        </w:tc>
        <w:tc>
          <w:tcPr>
            <w:tcW w:w="5806" w:type="dxa"/>
          </w:tcPr>
          <w:p w:rsidR="004E1C0C" w:rsidRPr="004E1C0C" w:rsidRDefault="004E1C0C" w:rsidP="004E1C0C">
            <w:pPr>
              <w:rPr>
                <w:rFonts w:ascii="Calibri" w:eastAsia="Calibri" w:hAnsi="Calibri" w:cs="Times New Roman"/>
                <w:b/>
                <w:bCs/>
              </w:rPr>
            </w:pPr>
            <w:r w:rsidRPr="004E1C0C">
              <w:rPr>
                <w:rFonts w:ascii="Calibri" w:eastAsia="Calibri" w:hAnsi="Calibri" w:cs="Times New Roman"/>
                <w:b/>
                <w:bCs/>
              </w:rPr>
              <w:t>Serwer</w:t>
            </w:r>
          </w:p>
        </w:tc>
      </w:tr>
      <w:tr w:rsidR="004E1C0C" w:rsidRPr="004E1C0C" w:rsidTr="00EE4BF7">
        <w:tc>
          <w:tcPr>
            <w:tcW w:w="3256" w:type="dxa"/>
          </w:tcPr>
          <w:p w:rsidR="004E1C0C" w:rsidRPr="004E1C0C" w:rsidRDefault="004E1C0C" w:rsidP="004E1C0C">
            <w:pPr>
              <w:rPr>
                <w:rFonts w:ascii="Calibri" w:eastAsia="Calibri" w:hAnsi="Calibri" w:cs="Times New Roman"/>
                <w:b/>
                <w:bCs/>
              </w:rPr>
            </w:pPr>
            <w:r w:rsidRPr="004E1C0C">
              <w:rPr>
                <w:rFonts w:ascii="Calibri" w:eastAsia="Calibri" w:hAnsi="Calibri" w:cs="Times New Roman"/>
                <w:b/>
                <w:bCs/>
              </w:rPr>
              <w:t>Ilość:</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1 sztuka</w:t>
            </w:r>
          </w:p>
        </w:tc>
      </w:tr>
      <w:tr w:rsidR="004E1C0C" w:rsidRPr="004E1C0C" w:rsidTr="00EE4BF7">
        <w:tc>
          <w:tcPr>
            <w:tcW w:w="9062" w:type="dxa"/>
            <w:gridSpan w:val="2"/>
          </w:tcPr>
          <w:p w:rsidR="004E1C0C" w:rsidRPr="004E1C0C" w:rsidRDefault="004E1C0C" w:rsidP="004E1C0C">
            <w:pPr>
              <w:rPr>
                <w:rFonts w:ascii="Calibri" w:eastAsia="Calibri" w:hAnsi="Calibri" w:cs="Times New Roman"/>
              </w:rPr>
            </w:pPr>
            <w:r w:rsidRPr="004E1C0C">
              <w:rPr>
                <w:rFonts w:ascii="Calibri" w:eastAsia="Calibri" w:hAnsi="Calibri" w:cs="Times New Roman"/>
                <w:b/>
                <w:bCs/>
              </w:rPr>
              <w:t>Parametry</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Obudowa</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 xml:space="preserve">Obudowa RACK o wysokości max 2U z możliwością instalacji min. 8 dysków 3,5” Hot-Plug SAS/SATA wraz z kompletem wysuwanych szyn umożliwiających montaż w szafie RACK </w:t>
            </w:r>
            <w:r w:rsidRPr="004E1C0C">
              <w:rPr>
                <w:rFonts w:ascii="Calibri" w:eastAsia="Calibri" w:hAnsi="Calibri" w:cs="Times New Roman"/>
              </w:rPr>
              <w:lastRenderedPageBreak/>
              <w:t xml:space="preserve">i wysuwanie serwera do celów serwisowych oraz organizatorem do kabli. </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lastRenderedPageBreak/>
              <w:t>Płyta główna</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Płyta główna musi być zaprojektowana przez producenta serwera i oznaczona jego znakiem firmowym. Płyta główna z możliwością zainstalowania dwóch procesorów. Możliwość instalacji procesorów min. 120W.</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Chipset</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Dedykowany przez producenta do pracy w serwerach dwuprocesorowych.</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Procesor</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 xml:space="preserve">Zainstalowany min. jeden procesor min. 12-rdzeniowe (24 wątkowe), dedykowany do pracy z zaoferowanym serwerem umożliwiający osiągnięcie wyniku min. 2150 w teście </w:t>
            </w:r>
            <w:proofErr w:type="spellStart"/>
            <w:r w:rsidRPr="004E1C0C">
              <w:rPr>
                <w:rFonts w:ascii="Calibri" w:eastAsia="Calibri" w:hAnsi="Calibri" w:cs="Times New Roman"/>
              </w:rPr>
              <w:t>Passmark</w:t>
            </w:r>
            <w:proofErr w:type="spellEnd"/>
            <w:r w:rsidRPr="004E1C0C">
              <w:rPr>
                <w:rFonts w:ascii="Calibri" w:eastAsia="Calibri" w:hAnsi="Calibri" w:cs="Times New Roman"/>
              </w:rPr>
              <w:t xml:space="preserve"> Software, dostępnym na stronie </w:t>
            </w:r>
            <w:hyperlink r:id="rId5" w:history="1">
              <w:r w:rsidRPr="004E1C0C">
                <w:rPr>
                  <w:rFonts w:ascii="Calibri" w:eastAsia="Calibri" w:hAnsi="Calibri" w:cs="Times New Roman"/>
                  <w:color w:val="0563C1"/>
                  <w:u w:val="single"/>
                </w:rPr>
                <w:t>https://www.cpubenchmark.net/</w:t>
              </w:r>
            </w:hyperlink>
            <w:r w:rsidRPr="004E1C0C">
              <w:rPr>
                <w:rFonts w:ascii="Calibri" w:eastAsia="Calibri" w:hAnsi="Calibri" w:cs="Times New Roman"/>
              </w:rPr>
              <w:t xml:space="preserve"> na dowolnej z testowanych platform sprzętowych w konfiguracji dla jednego procesora. Minimalna częstotliwość (</w:t>
            </w:r>
            <w:proofErr w:type="spellStart"/>
            <w:r w:rsidRPr="004E1C0C">
              <w:rPr>
                <w:rFonts w:ascii="Calibri" w:eastAsia="Calibri" w:hAnsi="Calibri" w:cs="Times New Roman"/>
              </w:rPr>
              <w:t>Clockspeed</w:t>
            </w:r>
            <w:proofErr w:type="spellEnd"/>
            <w:r w:rsidRPr="004E1C0C">
              <w:rPr>
                <w:rFonts w:ascii="Calibri" w:eastAsia="Calibri" w:hAnsi="Calibri" w:cs="Times New Roman"/>
              </w:rPr>
              <w:t>): 2.1 GHz.</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RAM</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Minimum 64 GB DDR4-2666 RDIMM, na płycie głównej powinno znajdować się minimum 16 slotów przeznaczonych do instalacji pamięci, płyta główna powinna obsługiwać do max. 1 TB pamięci RAM.</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Interfejsy sieciowe</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Wbudowane min. dwa interfejsy 1GbE. Dodatkowo min. dwa interfejsy sieciowe 10GbE  w standardzie SFP+.</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Dyski twarde</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Możliwość instalacji dysków SATA, SAS, SSD, NVME. Zainstalowane min. cztery dyski 3.5” min. 4TB 7.2K RPM SATA 6Gbps HDD typu Hot-Plug.</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Kontroler pamięci masowej</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RAID 0,1,5,6,10 z minimum 512 MB pamięci cache z zabezpieczeniem bateryjnym.</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Wbudowane porty</w:t>
            </w:r>
          </w:p>
        </w:tc>
        <w:tc>
          <w:tcPr>
            <w:tcW w:w="5806" w:type="dxa"/>
          </w:tcPr>
          <w:p w:rsidR="004E1C0C" w:rsidRPr="004E1C0C" w:rsidRDefault="004E1C0C" w:rsidP="004E1C0C">
            <w:pPr>
              <w:rPr>
                <w:rFonts w:ascii="Calibri" w:eastAsia="Calibri" w:hAnsi="Calibri" w:cs="Times New Roman"/>
              </w:rPr>
            </w:pPr>
            <w:bookmarkStart w:id="4" w:name="_Hlk136334611"/>
            <w:r w:rsidRPr="004E1C0C">
              <w:rPr>
                <w:rFonts w:ascii="Calibri" w:eastAsia="Calibri" w:hAnsi="Calibri" w:cs="Times New Roman"/>
              </w:rPr>
              <w:t>Min. 2 porty USB 2.0 (jeden na przednim panelu, drugi na tylnym), 1 port USB min. Gen. 3.0, 2 porty RJ45, 2 porty SFTP+, 2 porty min. VGA (jeden na przednim panelu, drugi na tylnym). Dedykowany port do zarządzania. Nie dopuszcza się zastosowania przejściówek w celu osiągnięcia wymaganej ilości portów.</w:t>
            </w:r>
            <w:bookmarkEnd w:id="4"/>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Video</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Zintegrowana karta graficzna umożliwiająca wyświetlenie rozdzielczości min. 1600x900.</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Wentylatory</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Redundantne</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Zasilacze</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Redundantne, Hot-Plug min. 800W każdy wraz z kablami zasilającymi o długości min 2m.</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Bezpieczeństwo</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Moduł TPM 2.0.</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Karta Zarządzania</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Niezależna od zainstalowanego na serwerze systemu operacyjnego posiadająca dedykowane port RJ-45 Gigabit Ethernet umożliwiająca:</w:t>
            </w:r>
          </w:p>
          <w:p w:rsidR="004E1C0C" w:rsidRPr="004E1C0C" w:rsidRDefault="004E1C0C" w:rsidP="004E1C0C">
            <w:pPr>
              <w:numPr>
                <w:ilvl w:val="0"/>
                <w:numId w:val="5"/>
              </w:numPr>
              <w:contextualSpacing/>
              <w:rPr>
                <w:rFonts w:ascii="Calibri" w:eastAsia="Calibri" w:hAnsi="Calibri" w:cs="Times New Roman"/>
              </w:rPr>
            </w:pPr>
            <w:r w:rsidRPr="004E1C0C">
              <w:rPr>
                <w:rFonts w:ascii="Calibri" w:eastAsia="Calibri" w:hAnsi="Calibri" w:cs="Times New Roman"/>
              </w:rPr>
              <w:t>Zdalny dostęp do graficznego interfejsu Web karty zarządzającej</w:t>
            </w:r>
          </w:p>
          <w:p w:rsidR="004E1C0C" w:rsidRPr="004E1C0C" w:rsidRDefault="004E1C0C" w:rsidP="004E1C0C">
            <w:pPr>
              <w:numPr>
                <w:ilvl w:val="0"/>
                <w:numId w:val="5"/>
              </w:numPr>
              <w:contextualSpacing/>
              <w:rPr>
                <w:rFonts w:ascii="Calibri" w:eastAsia="Calibri" w:hAnsi="Calibri" w:cs="Times New Roman"/>
              </w:rPr>
            </w:pPr>
            <w:r w:rsidRPr="004E1C0C">
              <w:rPr>
                <w:rFonts w:ascii="Calibri" w:eastAsia="Calibri" w:hAnsi="Calibri" w:cs="Times New Roman"/>
              </w:rPr>
              <w:t>Szyfrowane połączenie (TLS) oraz autentykacje i autoryzację użytkownika</w:t>
            </w:r>
          </w:p>
          <w:p w:rsidR="004E1C0C" w:rsidRPr="004E1C0C" w:rsidRDefault="004E1C0C" w:rsidP="004E1C0C">
            <w:pPr>
              <w:numPr>
                <w:ilvl w:val="0"/>
                <w:numId w:val="5"/>
              </w:numPr>
              <w:contextualSpacing/>
              <w:rPr>
                <w:rFonts w:ascii="Calibri" w:eastAsia="Calibri" w:hAnsi="Calibri" w:cs="Times New Roman"/>
              </w:rPr>
            </w:pPr>
            <w:r w:rsidRPr="004E1C0C">
              <w:rPr>
                <w:rFonts w:ascii="Calibri" w:eastAsia="Calibri" w:hAnsi="Calibri" w:cs="Times New Roman"/>
              </w:rPr>
              <w:t>Możliwość podmontowania zdalnych wirtualnych napędów</w:t>
            </w:r>
          </w:p>
          <w:p w:rsidR="004E1C0C" w:rsidRPr="004E1C0C" w:rsidRDefault="004E1C0C" w:rsidP="004E1C0C">
            <w:pPr>
              <w:numPr>
                <w:ilvl w:val="0"/>
                <w:numId w:val="5"/>
              </w:numPr>
              <w:contextualSpacing/>
              <w:rPr>
                <w:rFonts w:ascii="Calibri" w:eastAsia="Calibri" w:hAnsi="Calibri" w:cs="Times New Roman"/>
              </w:rPr>
            </w:pPr>
            <w:r w:rsidRPr="004E1C0C">
              <w:rPr>
                <w:rFonts w:ascii="Calibri" w:eastAsia="Calibri" w:hAnsi="Calibri" w:cs="Times New Roman"/>
              </w:rPr>
              <w:t>Wsparcie IPv6</w:t>
            </w:r>
          </w:p>
          <w:p w:rsidR="004E1C0C" w:rsidRPr="004E1C0C" w:rsidRDefault="004E1C0C" w:rsidP="004E1C0C">
            <w:pPr>
              <w:numPr>
                <w:ilvl w:val="0"/>
                <w:numId w:val="5"/>
              </w:numPr>
              <w:contextualSpacing/>
              <w:rPr>
                <w:rFonts w:ascii="Calibri" w:eastAsia="Calibri" w:hAnsi="Calibri" w:cs="Times New Roman"/>
              </w:rPr>
            </w:pPr>
            <w:r w:rsidRPr="004E1C0C">
              <w:rPr>
                <w:rFonts w:ascii="Calibri" w:eastAsia="Calibri" w:hAnsi="Calibri" w:cs="Times New Roman"/>
              </w:rPr>
              <w:t>Wsparcie dla SNMP</w:t>
            </w:r>
          </w:p>
          <w:p w:rsidR="004E1C0C" w:rsidRPr="004E1C0C" w:rsidRDefault="004E1C0C" w:rsidP="004E1C0C">
            <w:pPr>
              <w:numPr>
                <w:ilvl w:val="0"/>
                <w:numId w:val="5"/>
              </w:numPr>
              <w:contextualSpacing/>
              <w:rPr>
                <w:rFonts w:ascii="Calibri" w:eastAsia="Calibri" w:hAnsi="Calibri" w:cs="Times New Roman"/>
              </w:rPr>
            </w:pPr>
            <w:r w:rsidRPr="004E1C0C">
              <w:rPr>
                <w:rFonts w:ascii="Calibri" w:eastAsia="Calibri" w:hAnsi="Calibri" w:cs="Times New Roman"/>
              </w:rPr>
              <w:t>Wsparcie dla IPMI 2.0, SSH, VLAN</w:t>
            </w:r>
          </w:p>
          <w:p w:rsidR="004E1C0C" w:rsidRPr="004E1C0C" w:rsidRDefault="004E1C0C" w:rsidP="004E1C0C">
            <w:pPr>
              <w:numPr>
                <w:ilvl w:val="0"/>
                <w:numId w:val="5"/>
              </w:numPr>
              <w:contextualSpacing/>
              <w:rPr>
                <w:rFonts w:ascii="Calibri" w:eastAsia="Calibri" w:hAnsi="Calibri" w:cs="Times New Roman"/>
              </w:rPr>
            </w:pPr>
            <w:r w:rsidRPr="004E1C0C">
              <w:rPr>
                <w:rFonts w:ascii="Calibri" w:eastAsia="Calibri" w:hAnsi="Calibri" w:cs="Times New Roman"/>
              </w:rPr>
              <w:t>Wirtualną konsolę z dostępem do myszy, klawiatury</w:t>
            </w:r>
          </w:p>
          <w:p w:rsidR="004E1C0C" w:rsidRPr="004E1C0C" w:rsidRDefault="004E1C0C" w:rsidP="004E1C0C">
            <w:pPr>
              <w:numPr>
                <w:ilvl w:val="0"/>
                <w:numId w:val="5"/>
              </w:numPr>
              <w:contextualSpacing/>
              <w:rPr>
                <w:rFonts w:ascii="Calibri" w:eastAsia="Calibri" w:hAnsi="Calibri" w:cs="Times New Roman"/>
              </w:rPr>
            </w:pPr>
            <w:r w:rsidRPr="004E1C0C">
              <w:rPr>
                <w:rFonts w:ascii="Calibri" w:eastAsia="Calibri" w:hAnsi="Calibri" w:cs="Times New Roman"/>
              </w:rPr>
              <w:lastRenderedPageBreak/>
              <w:t>Możliwość zdalnego monitorowania w czasie rzeczywistym zasilania, temperatury, zużycia dysków</w:t>
            </w:r>
          </w:p>
          <w:p w:rsidR="004E1C0C" w:rsidRPr="004E1C0C" w:rsidRDefault="004E1C0C" w:rsidP="004E1C0C">
            <w:pPr>
              <w:numPr>
                <w:ilvl w:val="0"/>
                <w:numId w:val="5"/>
              </w:numPr>
              <w:contextualSpacing/>
              <w:rPr>
                <w:rFonts w:ascii="Calibri" w:eastAsia="Calibri" w:hAnsi="Calibri" w:cs="Times New Roman"/>
              </w:rPr>
            </w:pPr>
            <w:r w:rsidRPr="004E1C0C">
              <w:rPr>
                <w:rFonts w:ascii="Calibri" w:eastAsia="Calibri" w:hAnsi="Calibri" w:cs="Times New Roman"/>
              </w:rPr>
              <w:t>Wysyłanie do administratora maila z powiadomieniem o awarii lub zmianie konfiguracji sprzętowej</w:t>
            </w:r>
          </w:p>
          <w:p w:rsidR="004E1C0C" w:rsidRPr="004E1C0C" w:rsidRDefault="004E1C0C" w:rsidP="004E1C0C">
            <w:pPr>
              <w:numPr>
                <w:ilvl w:val="0"/>
                <w:numId w:val="5"/>
              </w:numPr>
              <w:contextualSpacing/>
              <w:rPr>
                <w:rFonts w:ascii="Calibri" w:eastAsia="Calibri" w:hAnsi="Calibri" w:cs="Times New Roman"/>
              </w:rPr>
            </w:pPr>
            <w:r w:rsidRPr="004E1C0C">
              <w:rPr>
                <w:rFonts w:ascii="Calibri" w:eastAsia="Calibri" w:hAnsi="Calibri" w:cs="Times New Roman"/>
              </w:rPr>
              <w:t xml:space="preserve">Możliwość zarządzania bezpośrednio poprzez złącze </w:t>
            </w:r>
            <w:proofErr w:type="spellStart"/>
            <w:r w:rsidRPr="004E1C0C">
              <w:rPr>
                <w:rFonts w:ascii="Calibri" w:eastAsia="Calibri" w:hAnsi="Calibri" w:cs="Times New Roman"/>
              </w:rPr>
              <w:t>microUSB</w:t>
            </w:r>
            <w:proofErr w:type="spellEnd"/>
            <w:r w:rsidRPr="004E1C0C">
              <w:rPr>
                <w:rFonts w:ascii="Calibri" w:eastAsia="Calibri" w:hAnsi="Calibri" w:cs="Times New Roman"/>
              </w:rPr>
              <w:t xml:space="preserve"> umieszczone na froncie obudowy</w:t>
            </w:r>
          </w:p>
          <w:p w:rsidR="004E1C0C" w:rsidRPr="004E1C0C" w:rsidRDefault="004E1C0C" w:rsidP="004E1C0C">
            <w:pPr>
              <w:numPr>
                <w:ilvl w:val="0"/>
                <w:numId w:val="5"/>
              </w:numPr>
              <w:contextualSpacing/>
              <w:rPr>
                <w:rFonts w:ascii="Calibri" w:eastAsia="Calibri" w:hAnsi="Calibri" w:cs="Times New Roman"/>
              </w:rPr>
            </w:pPr>
            <w:r w:rsidRPr="004E1C0C">
              <w:rPr>
                <w:rFonts w:ascii="Calibri" w:eastAsia="Calibri" w:hAnsi="Calibri" w:cs="Times New Roman"/>
              </w:rPr>
              <w:t xml:space="preserve">Automatyczny update </w:t>
            </w:r>
            <w:proofErr w:type="spellStart"/>
            <w:r w:rsidRPr="004E1C0C">
              <w:rPr>
                <w:rFonts w:ascii="Calibri" w:eastAsia="Calibri" w:hAnsi="Calibri" w:cs="Times New Roman"/>
              </w:rPr>
              <w:t>firmware</w:t>
            </w:r>
            <w:proofErr w:type="spellEnd"/>
            <w:r w:rsidRPr="004E1C0C">
              <w:rPr>
                <w:rFonts w:ascii="Calibri" w:eastAsia="Calibri" w:hAnsi="Calibri" w:cs="Times New Roman"/>
              </w:rPr>
              <w:t xml:space="preserve"> dla wszystkich komponentów serwera</w:t>
            </w:r>
          </w:p>
          <w:p w:rsidR="004E1C0C" w:rsidRPr="004E1C0C" w:rsidRDefault="004E1C0C" w:rsidP="004E1C0C">
            <w:pPr>
              <w:numPr>
                <w:ilvl w:val="0"/>
                <w:numId w:val="5"/>
              </w:numPr>
              <w:contextualSpacing/>
              <w:rPr>
                <w:rFonts w:ascii="Calibri" w:eastAsia="Calibri" w:hAnsi="Calibri" w:cs="Times New Roman"/>
              </w:rPr>
            </w:pPr>
            <w:r w:rsidRPr="004E1C0C">
              <w:rPr>
                <w:rFonts w:ascii="Calibri" w:eastAsia="Calibri" w:hAnsi="Calibri" w:cs="Times New Roman"/>
              </w:rPr>
              <w:t xml:space="preserve">Możliwość przywrócenia poprzednich </w:t>
            </w:r>
            <w:proofErr w:type="spellStart"/>
            <w:r w:rsidRPr="004E1C0C">
              <w:rPr>
                <w:rFonts w:ascii="Calibri" w:eastAsia="Calibri" w:hAnsi="Calibri" w:cs="Times New Roman"/>
              </w:rPr>
              <w:t>firmware</w:t>
            </w:r>
            <w:proofErr w:type="spellEnd"/>
            <w:r w:rsidRPr="004E1C0C">
              <w:rPr>
                <w:rFonts w:ascii="Calibri" w:eastAsia="Calibri" w:hAnsi="Calibri" w:cs="Times New Roman"/>
              </w:rPr>
              <w:t xml:space="preserve"> </w:t>
            </w:r>
          </w:p>
          <w:p w:rsidR="004E1C0C" w:rsidRPr="004E1C0C" w:rsidRDefault="004E1C0C" w:rsidP="004E1C0C">
            <w:pPr>
              <w:numPr>
                <w:ilvl w:val="0"/>
                <w:numId w:val="5"/>
              </w:numPr>
              <w:contextualSpacing/>
              <w:rPr>
                <w:rFonts w:ascii="Calibri" w:eastAsia="Calibri" w:hAnsi="Calibri" w:cs="Times New Roman"/>
              </w:rPr>
            </w:pPr>
            <w:r w:rsidRPr="004E1C0C">
              <w:rPr>
                <w:rFonts w:ascii="Calibri" w:eastAsia="Calibri" w:hAnsi="Calibri" w:cs="Times New Roman"/>
              </w:rPr>
              <w:t>Możliwość eksportu/importu konfiguracji serwera do pliku XML lub JSON</w:t>
            </w:r>
          </w:p>
          <w:p w:rsidR="004E1C0C" w:rsidRPr="004E1C0C" w:rsidRDefault="004E1C0C" w:rsidP="004E1C0C">
            <w:pPr>
              <w:numPr>
                <w:ilvl w:val="0"/>
                <w:numId w:val="5"/>
              </w:numPr>
              <w:contextualSpacing/>
              <w:rPr>
                <w:rFonts w:ascii="Calibri" w:eastAsia="Calibri" w:hAnsi="Calibri" w:cs="Times New Roman"/>
              </w:rPr>
            </w:pPr>
            <w:r w:rsidRPr="004E1C0C">
              <w:rPr>
                <w:rFonts w:ascii="Calibri" w:eastAsia="Calibri" w:hAnsi="Calibri" w:cs="Times New Roman"/>
              </w:rPr>
              <w:t>Możliwość zaimportowania ustawień, poprzez bezpośrednie podłączenie plików konfiguracyjnych</w:t>
            </w:r>
          </w:p>
          <w:p w:rsidR="004E1C0C" w:rsidRPr="004E1C0C" w:rsidRDefault="004E1C0C" w:rsidP="004E1C0C">
            <w:pPr>
              <w:rPr>
                <w:rFonts w:ascii="Calibri" w:eastAsia="Calibri" w:hAnsi="Calibri" w:cs="Times New Roman"/>
              </w:rPr>
            </w:pPr>
            <w:r w:rsidRPr="004E1C0C">
              <w:rPr>
                <w:rFonts w:ascii="Calibri" w:eastAsia="Calibri" w:hAnsi="Calibri" w:cs="Times New Roman"/>
              </w:rPr>
              <w:t>Automatyczne tworzenie kopii ustawień serwera w oparciu o harmonogram.</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lastRenderedPageBreak/>
              <w:t>Certyfikaty</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Serwer musi być wyprodukowany zgodnie z normą ISO-9001:2015 oraz ISO-14001.</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Warunki gwarancji</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Minimum 36 miesięcy gwarancji realizowanej w miejscu instalacji sprzętu. Możliwość zgłaszania awarii w trybie poprzez linię telefoniczną producenta/wykonawcy lub dedykowaną stronę www producenta/wykonawcy. Uszkodzone dyski, wymienione w ramach gwarancji muszą pozostać w miejscu instalacji sprzętu. Wymagane dołączenie do oferty oświadczenia Producenta potwierdzające, że Serwis urządzeń będzie realizowany bezpośrednio przez Producenta i/lub we współpracy z Autoryzowanym Partnerem Serwisowym Producenta.</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Dokumentacja użytkownika</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Zamawiający wymaga dokumentacji w języku polskim lub angielskim. Możliwość telefonicznego sprawdzenia konfiguracji sprzętowej serwera oraz warunków gwarancji po podaniu numeru seryjnego bezpośrednio u producenta lub jego przedstawiciela.</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System operacyjny</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Microsoft Windows Server 2022 Standard wynikający  z posiadanego oprogramowania, który do prawidłowego działania wymaga usług Windows oraz wirtualizacji Hyper-V.</w:t>
            </w:r>
          </w:p>
        </w:tc>
      </w:tr>
      <w:tr w:rsidR="004E1C0C" w:rsidRPr="004E1C0C" w:rsidTr="00EE4BF7">
        <w:tc>
          <w:tcPr>
            <w:tcW w:w="3256" w:type="dxa"/>
            <w:vAlign w:val="center"/>
          </w:tcPr>
          <w:p w:rsidR="004E1C0C" w:rsidRPr="004E1C0C" w:rsidRDefault="004E1C0C" w:rsidP="004E1C0C">
            <w:pPr>
              <w:rPr>
                <w:rFonts w:ascii="Calibri" w:eastAsia="Calibri" w:hAnsi="Calibri" w:cs="Times New Roman"/>
              </w:rPr>
            </w:pPr>
            <w:r w:rsidRPr="004E1C0C">
              <w:rPr>
                <w:rFonts w:ascii="Calibri" w:eastAsia="Calibri" w:hAnsi="Calibri" w:cs="Times New Roman"/>
              </w:rPr>
              <w:t>Ochrona urządzenia</w:t>
            </w:r>
          </w:p>
        </w:tc>
        <w:tc>
          <w:tcPr>
            <w:tcW w:w="5806" w:type="dxa"/>
          </w:tcPr>
          <w:p w:rsidR="004E1C0C" w:rsidRPr="004E1C0C" w:rsidRDefault="004E1C0C" w:rsidP="004E1C0C">
            <w:pPr>
              <w:rPr>
                <w:rFonts w:ascii="Calibri" w:eastAsia="Calibri" w:hAnsi="Calibri" w:cs="Times New Roman"/>
              </w:rPr>
            </w:pPr>
            <w:r w:rsidRPr="004E1C0C">
              <w:rPr>
                <w:rFonts w:ascii="Calibri" w:eastAsia="Calibri" w:hAnsi="Calibri" w:cs="Times New Roman"/>
              </w:rPr>
              <w:t>Oprogramowanie zabezpieczające serwer, którego celem jest wykrywanie zagrożeń, dostarczanie informacji w przypadku incydentów. Licencja min. 1 rok.</w:t>
            </w:r>
          </w:p>
        </w:tc>
      </w:tr>
    </w:tbl>
    <w:p w:rsidR="004E1C0C" w:rsidRPr="004E1C0C" w:rsidRDefault="004E1C0C" w:rsidP="004E1C0C">
      <w:pPr>
        <w:spacing w:before="360"/>
        <w:rPr>
          <w:rFonts w:ascii="Calibri" w:eastAsia="Calibri" w:hAnsi="Calibri" w:cs="Times New Roman"/>
          <w:b/>
          <w:bCs/>
          <w:kern w:val="2"/>
          <w14:ligatures w14:val="standardContextual"/>
        </w:rPr>
      </w:pPr>
      <w:r w:rsidRPr="004E1C0C">
        <w:rPr>
          <w:rFonts w:ascii="Calibri" w:eastAsia="Calibri" w:hAnsi="Calibri" w:cs="Times New Roman"/>
          <w:b/>
          <w:bCs/>
          <w:kern w:val="2"/>
          <w14:ligatures w14:val="standardContextual"/>
        </w:rPr>
        <w:t>Powyższe wymagania należy traktować jako minimalne – akceptowane będą lepsze od żądanych.</w:t>
      </w:r>
    </w:p>
    <w:p w:rsidR="004E1C0C" w:rsidRPr="004E1C0C" w:rsidRDefault="004E1C0C" w:rsidP="004E1C0C">
      <w:pPr>
        <w:numPr>
          <w:ilvl w:val="0"/>
          <w:numId w:val="4"/>
        </w:numPr>
        <w:contextualSpacing/>
        <w:rPr>
          <w:rFonts w:ascii="Calibri" w:eastAsia="Calibri" w:hAnsi="Calibri" w:cs="Times New Roman"/>
          <w:kern w:val="2"/>
          <w14:ligatures w14:val="standardContextual"/>
        </w:rPr>
      </w:pPr>
      <w:r w:rsidRPr="004E1C0C">
        <w:rPr>
          <w:rFonts w:ascii="Calibri" w:eastAsia="Calibri" w:hAnsi="Calibri" w:cs="Times New Roman"/>
          <w:kern w:val="2"/>
          <w14:ligatures w14:val="standardContextual"/>
        </w:rPr>
        <w:t>Jeżeli Zamawiający zaznaczył w specyfikacji, iż dany sprzęt ma współpracować lub być integralną częścią sprzętu już posiadanego przez Zamawiającego wymaga się, aby oferowany sprzęt był w pełni zgodny, kompatybilny i prawidłowo współpracował ze wskazanym sprzętem.</w:t>
      </w:r>
    </w:p>
    <w:p w:rsidR="004E1C0C" w:rsidRPr="004E1C0C" w:rsidRDefault="004E1C0C" w:rsidP="004E1C0C">
      <w:pPr>
        <w:numPr>
          <w:ilvl w:val="0"/>
          <w:numId w:val="4"/>
        </w:numPr>
        <w:contextualSpacing/>
        <w:rPr>
          <w:rFonts w:ascii="Calibri" w:eastAsia="Calibri" w:hAnsi="Calibri" w:cs="Times New Roman"/>
          <w:kern w:val="2"/>
          <w14:ligatures w14:val="standardContextual"/>
        </w:rPr>
      </w:pPr>
      <w:r w:rsidRPr="004E1C0C">
        <w:rPr>
          <w:rFonts w:ascii="Calibri" w:eastAsia="Calibri" w:hAnsi="Calibri" w:cs="Times New Roman"/>
          <w:kern w:val="2"/>
          <w14:ligatures w14:val="standardContextual"/>
        </w:rPr>
        <w:t>W przypadku sprzętu i oprogramowania, gdzie Zamawiający określił charakterystykę sprzętu lub oprogramowania poprzez podanie znaków towarowych, patentów lub pochodzenie,</w:t>
      </w:r>
      <w:r w:rsidRPr="004E1C0C">
        <w:rPr>
          <w:rFonts w:ascii="Calibri" w:eastAsia="Calibri" w:hAnsi="Calibri" w:cs="Times New Roman"/>
          <w:kern w:val="2"/>
          <w14:ligatures w14:val="standardContextual"/>
        </w:rPr>
        <w:br/>
        <w:t xml:space="preserve">a takie normy dopuszczając jednocześnie zaoferowanie produktu równoważnego a Wykonawca zaoferuje urządzenie/oprogramowanie równoważne ciężar wykazania równoważności leży po stronie Wykonawcy. Przez produkt równoważny do opisanego </w:t>
      </w:r>
      <w:r w:rsidRPr="004E1C0C">
        <w:rPr>
          <w:rFonts w:ascii="Calibri" w:eastAsia="Calibri" w:hAnsi="Calibri" w:cs="Times New Roman"/>
          <w:kern w:val="2"/>
          <w14:ligatures w14:val="standardContextual"/>
        </w:rPr>
        <w:lastRenderedPageBreak/>
        <w:t>przedmiotu zamówienia, Zamawiający rozumie taki, który w sposób poprawny współpracuje</w:t>
      </w:r>
      <w:r w:rsidRPr="004E1C0C">
        <w:rPr>
          <w:rFonts w:ascii="Calibri" w:eastAsia="Calibri" w:hAnsi="Calibri" w:cs="Times New Roman"/>
          <w:kern w:val="2"/>
          <w14:ligatures w14:val="standardContextual"/>
        </w:rPr>
        <w:br/>
        <w:t>z programami oraz z posiadanym środowiskiem sprzętowym Zamawiającego, a jego zastosowanie nie wymaga żadnych nakładów związanych z dostosowaniem programów</w:t>
      </w:r>
      <w:r w:rsidRPr="004E1C0C">
        <w:rPr>
          <w:rFonts w:ascii="Calibri" w:eastAsia="Calibri" w:hAnsi="Calibri" w:cs="Times New Roman"/>
          <w:kern w:val="2"/>
          <w14:ligatures w14:val="standardContextual"/>
        </w:rPr>
        <w:br/>
        <w:t>i środowiska sprzętowego Zamawiającego lub produktu równoważnego oraz realizuje wszystkie funkcjonalności i posiada wszystkie cechy produktu określonego w OPZ.</w:t>
      </w:r>
    </w:p>
    <w:p w:rsidR="00B11601" w:rsidRDefault="00B11601" w:rsidP="004E1C0C">
      <w:pPr>
        <w:spacing w:before="7" w:after="0" w:line="360" w:lineRule="auto"/>
        <w:jc w:val="both"/>
      </w:pPr>
    </w:p>
    <w:sectPr w:rsidR="00B11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45C08"/>
    <w:multiLevelType w:val="hybridMultilevel"/>
    <w:tmpl w:val="2EF6F680"/>
    <w:lvl w:ilvl="0" w:tplc="2CF62908">
      <w:start w:val="1"/>
      <w:numFmt w:val="decimal"/>
      <w:lvlText w:val="%1."/>
      <w:lvlJc w:val="left"/>
      <w:pPr>
        <w:ind w:left="822" w:hanging="360"/>
      </w:pPr>
      <w:rPr>
        <w:rFonts w:ascii="Times New Roman" w:eastAsia="Cambria" w:hAnsi="Times New Roman" w:cs="Times New Roman" w:hint="default"/>
        <w:b w:val="0"/>
        <w:bCs/>
        <w:spacing w:val="-17"/>
        <w:w w:val="100"/>
        <w:sz w:val="20"/>
        <w:szCs w:val="20"/>
        <w:lang w:val="pl-PL" w:eastAsia="pl-PL" w:bidi="pl-PL"/>
      </w:rPr>
    </w:lvl>
    <w:lvl w:ilvl="1" w:tplc="A7841226">
      <w:numFmt w:val="bullet"/>
      <w:lvlText w:val="•"/>
      <w:lvlJc w:val="left"/>
      <w:pPr>
        <w:ind w:left="1702" w:hanging="360"/>
      </w:pPr>
      <w:rPr>
        <w:rFonts w:hint="default"/>
        <w:lang w:val="pl-PL" w:eastAsia="pl-PL" w:bidi="pl-PL"/>
      </w:rPr>
    </w:lvl>
    <w:lvl w:ilvl="2" w:tplc="8C2CD4E2">
      <w:numFmt w:val="bullet"/>
      <w:lvlText w:val="•"/>
      <w:lvlJc w:val="left"/>
      <w:pPr>
        <w:ind w:left="2585" w:hanging="360"/>
      </w:pPr>
      <w:rPr>
        <w:rFonts w:hint="default"/>
        <w:lang w:val="pl-PL" w:eastAsia="pl-PL" w:bidi="pl-PL"/>
      </w:rPr>
    </w:lvl>
    <w:lvl w:ilvl="3" w:tplc="933CF852">
      <w:numFmt w:val="bullet"/>
      <w:lvlText w:val="•"/>
      <w:lvlJc w:val="left"/>
      <w:pPr>
        <w:ind w:left="3467" w:hanging="360"/>
      </w:pPr>
      <w:rPr>
        <w:rFonts w:hint="default"/>
        <w:lang w:val="pl-PL" w:eastAsia="pl-PL" w:bidi="pl-PL"/>
      </w:rPr>
    </w:lvl>
    <w:lvl w:ilvl="4" w:tplc="E7705C94">
      <w:numFmt w:val="bullet"/>
      <w:lvlText w:val="•"/>
      <w:lvlJc w:val="left"/>
      <w:pPr>
        <w:ind w:left="4350" w:hanging="360"/>
      </w:pPr>
      <w:rPr>
        <w:rFonts w:hint="default"/>
        <w:lang w:val="pl-PL" w:eastAsia="pl-PL" w:bidi="pl-PL"/>
      </w:rPr>
    </w:lvl>
    <w:lvl w:ilvl="5" w:tplc="2BAA61F4">
      <w:numFmt w:val="bullet"/>
      <w:lvlText w:val="•"/>
      <w:lvlJc w:val="left"/>
      <w:pPr>
        <w:ind w:left="5233" w:hanging="360"/>
      </w:pPr>
      <w:rPr>
        <w:rFonts w:hint="default"/>
        <w:lang w:val="pl-PL" w:eastAsia="pl-PL" w:bidi="pl-PL"/>
      </w:rPr>
    </w:lvl>
    <w:lvl w:ilvl="6" w:tplc="4F909FE8">
      <w:numFmt w:val="bullet"/>
      <w:lvlText w:val="•"/>
      <w:lvlJc w:val="left"/>
      <w:pPr>
        <w:ind w:left="6115" w:hanging="360"/>
      </w:pPr>
      <w:rPr>
        <w:rFonts w:hint="default"/>
        <w:lang w:val="pl-PL" w:eastAsia="pl-PL" w:bidi="pl-PL"/>
      </w:rPr>
    </w:lvl>
    <w:lvl w:ilvl="7" w:tplc="0E1ED6AE">
      <w:numFmt w:val="bullet"/>
      <w:lvlText w:val="•"/>
      <w:lvlJc w:val="left"/>
      <w:pPr>
        <w:ind w:left="6998" w:hanging="360"/>
      </w:pPr>
      <w:rPr>
        <w:rFonts w:hint="default"/>
        <w:lang w:val="pl-PL" w:eastAsia="pl-PL" w:bidi="pl-PL"/>
      </w:rPr>
    </w:lvl>
    <w:lvl w:ilvl="8" w:tplc="87007AD2">
      <w:numFmt w:val="bullet"/>
      <w:lvlText w:val="•"/>
      <w:lvlJc w:val="left"/>
      <w:pPr>
        <w:ind w:left="7881" w:hanging="360"/>
      </w:pPr>
      <w:rPr>
        <w:rFonts w:hint="default"/>
        <w:lang w:val="pl-PL" w:eastAsia="pl-PL" w:bidi="pl-PL"/>
      </w:rPr>
    </w:lvl>
  </w:abstractNum>
  <w:abstractNum w:abstractNumId="1" w15:restartNumberingAfterBreak="0">
    <w:nsid w:val="1793224B"/>
    <w:multiLevelType w:val="hybridMultilevel"/>
    <w:tmpl w:val="C50E3C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02E695C"/>
    <w:multiLevelType w:val="hybridMultilevel"/>
    <w:tmpl w:val="61D22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A1E1623"/>
    <w:multiLevelType w:val="hybridMultilevel"/>
    <w:tmpl w:val="C93C8C48"/>
    <w:lvl w:ilvl="0" w:tplc="4C745426">
      <w:start w:val="1"/>
      <w:numFmt w:val="lowerLetter"/>
      <w:lvlText w:val="%1)"/>
      <w:lvlJc w:val="left"/>
      <w:pPr>
        <w:ind w:left="467" w:hanging="360"/>
      </w:pPr>
      <w:rPr>
        <w:rFonts w:ascii="Cambria" w:eastAsia="Cambria" w:hAnsi="Cambria" w:cs="Cambria" w:hint="default"/>
        <w:b/>
        <w:bCs/>
        <w:spacing w:val="-27"/>
        <w:w w:val="100"/>
        <w:sz w:val="24"/>
        <w:szCs w:val="24"/>
        <w:lang w:val="pl-PL" w:eastAsia="pl-PL" w:bidi="pl-PL"/>
      </w:rPr>
    </w:lvl>
    <w:lvl w:ilvl="1" w:tplc="AF221BCE">
      <w:numFmt w:val="bullet"/>
      <w:lvlText w:val="•"/>
      <w:lvlJc w:val="left"/>
      <w:pPr>
        <w:ind w:left="1000" w:hanging="360"/>
      </w:pPr>
      <w:rPr>
        <w:rFonts w:hint="default"/>
        <w:lang w:val="pl-PL" w:eastAsia="pl-PL" w:bidi="pl-PL"/>
      </w:rPr>
    </w:lvl>
    <w:lvl w:ilvl="2" w:tplc="25F23B1A">
      <w:numFmt w:val="bullet"/>
      <w:lvlText w:val="•"/>
      <w:lvlJc w:val="left"/>
      <w:pPr>
        <w:ind w:left="1541" w:hanging="360"/>
      </w:pPr>
      <w:rPr>
        <w:rFonts w:hint="default"/>
        <w:lang w:val="pl-PL" w:eastAsia="pl-PL" w:bidi="pl-PL"/>
      </w:rPr>
    </w:lvl>
    <w:lvl w:ilvl="3" w:tplc="A7748904">
      <w:numFmt w:val="bullet"/>
      <w:lvlText w:val="•"/>
      <w:lvlJc w:val="left"/>
      <w:pPr>
        <w:ind w:left="2082" w:hanging="360"/>
      </w:pPr>
      <w:rPr>
        <w:rFonts w:hint="default"/>
        <w:lang w:val="pl-PL" w:eastAsia="pl-PL" w:bidi="pl-PL"/>
      </w:rPr>
    </w:lvl>
    <w:lvl w:ilvl="4" w:tplc="E9BED718">
      <w:numFmt w:val="bullet"/>
      <w:lvlText w:val="•"/>
      <w:lvlJc w:val="left"/>
      <w:pPr>
        <w:ind w:left="2623" w:hanging="360"/>
      </w:pPr>
      <w:rPr>
        <w:rFonts w:hint="default"/>
        <w:lang w:val="pl-PL" w:eastAsia="pl-PL" w:bidi="pl-PL"/>
      </w:rPr>
    </w:lvl>
    <w:lvl w:ilvl="5" w:tplc="564401E4">
      <w:numFmt w:val="bullet"/>
      <w:lvlText w:val="•"/>
      <w:lvlJc w:val="left"/>
      <w:pPr>
        <w:ind w:left="3164" w:hanging="360"/>
      </w:pPr>
      <w:rPr>
        <w:rFonts w:hint="default"/>
        <w:lang w:val="pl-PL" w:eastAsia="pl-PL" w:bidi="pl-PL"/>
      </w:rPr>
    </w:lvl>
    <w:lvl w:ilvl="6" w:tplc="E29ADB3A">
      <w:numFmt w:val="bullet"/>
      <w:lvlText w:val="•"/>
      <w:lvlJc w:val="left"/>
      <w:pPr>
        <w:ind w:left="3705" w:hanging="360"/>
      </w:pPr>
      <w:rPr>
        <w:rFonts w:hint="default"/>
        <w:lang w:val="pl-PL" w:eastAsia="pl-PL" w:bidi="pl-PL"/>
      </w:rPr>
    </w:lvl>
    <w:lvl w:ilvl="7" w:tplc="FB406460">
      <w:numFmt w:val="bullet"/>
      <w:lvlText w:val="•"/>
      <w:lvlJc w:val="left"/>
      <w:pPr>
        <w:ind w:left="4246" w:hanging="360"/>
      </w:pPr>
      <w:rPr>
        <w:rFonts w:hint="default"/>
        <w:lang w:val="pl-PL" w:eastAsia="pl-PL" w:bidi="pl-PL"/>
      </w:rPr>
    </w:lvl>
    <w:lvl w:ilvl="8" w:tplc="204A0664">
      <w:numFmt w:val="bullet"/>
      <w:lvlText w:val="•"/>
      <w:lvlJc w:val="left"/>
      <w:pPr>
        <w:ind w:left="4787" w:hanging="360"/>
      </w:pPr>
      <w:rPr>
        <w:rFonts w:hint="default"/>
        <w:lang w:val="pl-PL" w:eastAsia="pl-PL" w:bidi="pl-PL"/>
      </w:rPr>
    </w:lvl>
  </w:abstractNum>
  <w:abstractNum w:abstractNumId="4" w15:restartNumberingAfterBreak="0">
    <w:nsid w:val="4FCE486D"/>
    <w:multiLevelType w:val="hybridMultilevel"/>
    <w:tmpl w:val="5EB494BC"/>
    <w:lvl w:ilvl="0" w:tplc="661A4FBA">
      <w:start w:val="1"/>
      <w:numFmt w:val="lowerLetter"/>
      <w:lvlText w:val="%1)"/>
      <w:lvlJc w:val="left"/>
      <w:pPr>
        <w:ind w:left="467" w:hanging="360"/>
      </w:pPr>
      <w:rPr>
        <w:rFonts w:ascii="Cambria" w:eastAsia="Cambria" w:hAnsi="Cambria" w:cs="Cambria" w:hint="default"/>
        <w:b/>
        <w:bCs/>
        <w:spacing w:val="-27"/>
        <w:w w:val="100"/>
        <w:sz w:val="24"/>
        <w:szCs w:val="24"/>
        <w:lang w:val="pl-PL" w:eastAsia="pl-PL" w:bidi="pl-PL"/>
      </w:rPr>
    </w:lvl>
    <w:lvl w:ilvl="1" w:tplc="0AE4110E">
      <w:numFmt w:val="bullet"/>
      <w:lvlText w:val="-"/>
      <w:lvlJc w:val="left"/>
      <w:pPr>
        <w:ind w:left="467" w:hanging="133"/>
      </w:pPr>
      <w:rPr>
        <w:rFonts w:ascii="Cambria" w:eastAsia="Cambria" w:hAnsi="Cambria" w:cs="Cambria" w:hint="default"/>
        <w:w w:val="100"/>
        <w:sz w:val="24"/>
        <w:szCs w:val="24"/>
        <w:lang w:val="pl-PL" w:eastAsia="pl-PL" w:bidi="pl-PL"/>
      </w:rPr>
    </w:lvl>
    <w:lvl w:ilvl="2" w:tplc="99A019B2">
      <w:numFmt w:val="bullet"/>
      <w:lvlText w:val="•"/>
      <w:lvlJc w:val="left"/>
      <w:pPr>
        <w:ind w:left="1541" w:hanging="133"/>
      </w:pPr>
      <w:rPr>
        <w:rFonts w:hint="default"/>
        <w:lang w:val="pl-PL" w:eastAsia="pl-PL" w:bidi="pl-PL"/>
      </w:rPr>
    </w:lvl>
    <w:lvl w:ilvl="3" w:tplc="20FCD134">
      <w:numFmt w:val="bullet"/>
      <w:lvlText w:val="•"/>
      <w:lvlJc w:val="left"/>
      <w:pPr>
        <w:ind w:left="2082" w:hanging="133"/>
      </w:pPr>
      <w:rPr>
        <w:rFonts w:hint="default"/>
        <w:lang w:val="pl-PL" w:eastAsia="pl-PL" w:bidi="pl-PL"/>
      </w:rPr>
    </w:lvl>
    <w:lvl w:ilvl="4" w:tplc="45342CB6">
      <w:numFmt w:val="bullet"/>
      <w:lvlText w:val="•"/>
      <w:lvlJc w:val="left"/>
      <w:pPr>
        <w:ind w:left="2623" w:hanging="133"/>
      </w:pPr>
      <w:rPr>
        <w:rFonts w:hint="default"/>
        <w:lang w:val="pl-PL" w:eastAsia="pl-PL" w:bidi="pl-PL"/>
      </w:rPr>
    </w:lvl>
    <w:lvl w:ilvl="5" w:tplc="A6544E22">
      <w:numFmt w:val="bullet"/>
      <w:lvlText w:val="•"/>
      <w:lvlJc w:val="left"/>
      <w:pPr>
        <w:ind w:left="3164" w:hanging="133"/>
      </w:pPr>
      <w:rPr>
        <w:rFonts w:hint="default"/>
        <w:lang w:val="pl-PL" w:eastAsia="pl-PL" w:bidi="pl-PL"/>
      </w:rPr>
    </w:lvl>
    <w:lvl w:ilvl="6" w:tplc="04B2A24E">
      <w:numFmt w:val="bullet"/>
      <w:lvlText w:val="•"/>
      <w:lvlJc w:val="left"/>
      <w:pPr>
        <w:ind w:left="3705" w:hanging="133"/>
      </w:pPr>
      <w:rPr>
        <w:rFonts w:hint="default"/>
        <w:lang w:val="pl-PL" w:eastAsia="pl-PL" w:bidi="pl-PL"/>
      </w:rPr>
    </w:lvl>
    <w:lvl w:ilvl="7" w:tplc="FA24C6A0">
      <w:numFmt w:val="bullet"/>
      <w:lvlText w:val="•"/>
      <w:lvlJc w:val="left"/>
      <w:pPr>
        <w:ind w:left="4246" w:hanging="133"/>
      </w:pPr>
      <w:rPr>
        <w:rFonts w:hint="default"/>
        <w:lang w:val="pl-PL" w:eastAsia="pl-PL" w:bidi="pl-PL"/>
      </w:rPr>
    </w:lvl>
    <w:lvl w:ilvl="8" w:tplc="9A0E7D2A">
      <w:numFmt w:val="bullet"/>
      <w:lvlText w:val="•"/>
      <w:lvlJc w:val="left"/>
      <w:pPr>
        <w:ind w:left="4787" w:hanging="133"/>
      </w:pPr>
      <w:rPr>
        <w:rFonts w:hint="default"/>
        <w:lang w:val="pl-PL" w:eastAsia="pl-PL" w:bidi="pl-PL"/>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36"/>
    <w:rsid w:val="00026FE4"/>
    <w:rsid w:val="002369FB"/>
    <w:rsid w:val="00265007"/>
    <w:rsid w:val="002A75A5"/>
    <w:rsid w:val="002F39A0"/>
    <w:rsid w:val="00352754"/>
    <w:rsid w:val="003D3236"/>
    <w:rsid w:val="00422B67"/>
    <w:rsid w:val="004804C2"/>
    <w:rsid w:val="004E1C0C"/>
    <w:rsid w:val="005508A7"/>
    <w:rsid w:val="00615E25"/>
    <w:rsid w:val="008A3285"/>
    <w:rsid w:val="008F439A"/>
    <w:rsid w:val="009214D3"/>
    <w:rsid w:val="00990627"/>
    <w:rsid w:val="009E016C"/>
    <w:rsid w:val="00B00C3A"/>
    <w:rsid w:val="00B11601"/>
    <w:rsid w:val="00B35D1E"/>
    <w:rsid w:val="00D043B5"/>
    <w:rsid w:val="00D060EC"/>
    <w:rsid w:val="00DC5976"/>
    <w:rsid w:val="00E77BC9"/>
    <w:rsid w:val="00EA51D9"/>
    <w:rsid w:val="00EB6270"/>
    <w:rsid w:val="00EE1710"/>
    <w:rsid w:val="00EF2B4A"/>
    <w:rsid w:val="00F003C2"/>
    <w:rsid w:val="00F922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962E6-3A5A-4E23-96BA-0D4B8013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EA51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A51D9"/>
    <w:rPr>
      <w:rFonts w:ascii="Times New Roman" w:eastAsia="Times New Roman" w:hAnsi="Times New Roman" w:cs="Times New Roman"/>
      <w:b/>
      <w:bCs/>
      <w:kern w:val="36"/>
      <w:sz w:val="48"/>
      <w:szCs w:val="48"/>
      <w:lang w:eastAsia="pl-PL"/>
    </w:rPr>
  </w:style>
  <w:style w:type="table" w:customStyle="1" w:styleId="Tabela-Siatka1">
    <w:name w:val="Tabela - Siatka1"/>
    <w:basedOn w:val="Standardowy"/>
    <w:next w:val="Tabela-Siatka"/>
    <w:uiPriority w:val="39"/>
    <w:rsid w:val="004E1C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4E1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09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pubenchmark.net/"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1152</Words>
  <Characters>6914</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dc:creator>
  <cp:keywords/>
  <dc:description/>
  <cp:lastModifiedBy>Grzegorz</cp:lastModifiedBy>
  <cp:revision>27</cp:revision>
  <dcterms:created xsi:type="dcterms:W3CDTF">2023-02-23T09:37:00Z</dcterms:created>
  <dcterms:modified xsi:type="dcterms:W3CDTF">2023-05-30T11:29:00Z</dcterms:modified>
</cp:coreProperties>
</file>