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63D" w:rsidRDefault="0085663D" w:rsidP="00BB46C8"/>
    <w:p w:rsidR="00CE5DB9" w:rsidRDefault="00CE5DB9" w:rsidP="00BB46C8"/>
    <w:p w:rsidR="00CE5DB9" w:rsidRPr="00C41A68" w:rsidRDefault="00CE5DB9" w:rsidP="00CE5DB9">
      <w:pPr>
        <w:pStyle w:val="NormalnyWeb"/>
        <w:spacing w:before="0" w:beforeAutospacing="0" w:after="0"/>
      </w:pPr>
      <w:r>
        <w:t xml:space="preserve">ZP.271.85.2018                                                                        </w:t>
      </w:r>
      <w:r w:rsidRPr="00C41A68">
        <w:t xml:space="preserve">Karpacz </w:t>
      </w:r>
      <w:r>
        <w:t>07.09.2018</w:t>
      </w:r>
      <w:r w:rsidRPr="00C41A68">
        <w:t xml:space="preserve"> roku </w:t>
      </w:r>
    </w:p>
    <w:p w:rsidR="00CE5DB9" w:rsidRDefault="00CE5DB9" w:rsidP="00CE5DB9">
      <w:pPr>
        <w:pStyle w:val="NormalnyWeb"/>
        <w:spacing w:before="0" w:beforeAutospacing="0" w:after="0"/>
      </w:pPr>
    </w:p>
    <w:p w:rsidR="00CE5DB9" w:rsidRPr="00C41A68" w:rsidRDefault="00CE5DB9" w:rsidP="00CE5DB9">
      <w:pPr>
        <w:pStyle w:val="NormalnyWeb"/>
        <w:spacing w:before="0" w:beforeAutospacing="0" w:after="0"/>
      </w:pPr>
    </w:p>
    <w:p w:rsidR="00CE5DB9" w:rsidRPr="00C41A68" w:rsidRDefault="00CE5DB9" w:rsidP="00CE5DB9">
      <w:pPr>
        <w:pStyle w:val="NormalnyWeb"/>
        <w:spacing w:before="0" w:beforeAutospacing="0" w:after="0"/>
        <w:jc w:val="center"/>
        <w:rPr>
          <w:b/>
        </w:rPr>
      </w:pPr>
      <w:r w:rsidRPr="00C41A68">
        <w:rPr>
          <w:b/>
        </w:rPr>
        <w:t xml:space="preserve">ZAPYTANIE  OFERTOWE  na  wykonanie </w:t>
      </w:r>
      <w:r>
        <w:rPr>
          <w:b/>
        </w:rPr>
        <w:t xml:space="preserve">usługi polegającej </w:t>
      </w:r>
      <w:r w:rsidRPr="00C41A68">
        <w:rPr>
          <w:b/>
        </w:rPr>
        <w:t>na:</w:t>
      </w:r>
    </w:p>
    <w:p w:rsidR="00CE5DB9" w:rsidRPr="00CE5DB9" w:rsidRDefault="00CE5DB9" w:rsidP="00CE5DB9">
      <w:pPr>
        <w:jc w:val="center"/>
        <w:rPr>
          <w:b/>
          <w:sz w:val="24"/>
          <w:szCs w:val="24"/>
          <w:u w:val="single"/>
        </w:rPr>
      </w:pPr>
      <w:r w:rsidRPr="00CE5DB9">
        <w:rPr>
          <w:b/>
          <w:sz w:val="24"/>
          <w:szCs w:val="24"/>
          <w:u w:val="single"/>
        </w:rPr>
        <w:t>prowadzeniu nadzoru archeologicznego</w:t>
      </w:r>
    </w:p>
    <w:p w:rsidR="00CE5DB9" w:rsidRPr="00C41A68" w:rsidRDefault="00CE5DB9" w:rsidP="00CE5DB9">
      <w:pPr>
        <w:jc w:val="center"/>
      </w:pPr>
      <w:r>
        <w:rPr>
          <w:b/>
          <w:sz w:val="24"/>
          <w:szCs w:val="24"/>
        </w:rPr>
        <w:t xml:space="preserve"> na zadania dotyczącym rewitalizacji i budowie skwerów i parków na terenie Gminy Karpacz</w:t>
      </w:r>
      <w:r w:rsidR="003E2103">
        <w:rPr>
          <w:b/>
          <w:sz w:val="24"/>
          <w:szCs w:val="24"/>
        </w:rPr>
        <w:t xml:space="preserve">, w ilości 3 skwerów oraz 4 parków </w:t>
      </w:r>
    </w:p>
    <w:p w:rsidR="00CE5DB9" w:rsidRPr="00C41A68" w:rsidRDefault="00CE5DB9" w:rsidP="00CE5DB9">
      <w:pPr>
        <w:pStyle w:val="NormalnyWeb"/>
        <w:spacing w:before="0" w:beforeAutospacing="0" w:after="0"/>
        <w:jc w:val="both"/>
      </w:pPr>
    </w:p>
    <w:p w:rsidR="00CE5DB9" w:rsidRPr="00C41A68" w:rsidRDefault="00CE5DB9" w:rsidP="00CE5DB9">
      <w:pPr>
        <w:pStyle w:val="NormalnyWeb"/>
        <w:spacing w:before="0" w:beforeAutospacing="0" w:after="0"/>
        <w:jc w:val="both"/>
      </w:pPr>
      <w:r w:rsidRPr="00C41A68">
        <w:t xml:space="preserve">INFORMACJA OGÓLNE: </w:t>
      </w:r>
    </w:p>
    <w:p w:rsidR="00CE5DB9" w:rsidRPr="00C41A68" w:rsidRDefault="00CE5DB9" w:rsidP="00CE5DB9">
      <w:pPr>
        <w:pStyle w:val="NormalnyWeb"/>
        <w:spacing w:before="0" w:beforeAutospacing="0" w:after="0"/>
        <w:jc w:val="both"/>
      </w:pPr>
      <w:bookmarkStart w:id="0" w:name="_Hlk497990753"/>
      <w:r w:rsidRPr="00C41A68">
        <w:t xml:space="preserve">Planowana wartość przedmiotu zamówienia kształtuje się na poziomie niższym niż wyrażona w złotych równowartości 30.000 euro, na podstawie art. 4 pkt 8 ustawy z dnia 29 stycznia 2004 r. Prawo zamówień publicznych </w:t>
      </w:r>
      <w:r>
        <w:t xml:space="preserve">(tj. </w:t>
      </w:r>
      <w:r w:rsidRPr="00C41A68">
        <w:t>Dz. U. z 201</w:t>
      </w:r>
      <w:r>
        <w:t>7</w:t>
      </w:r>
      <w:r w:rsidRPr="00C41A68">
        <w:t xml:space="preserve"> r. poz. </w:t>
      </w:r>
      <w:r>
        <w:t>1579 ze zm.</w:t>
      </w:r>
      <w:r w:rsidRPr="00C41A68">
        <w:t>)</w:t>
      </w:r>
      <w:r>
        <w:t xml:space="preserve"> </w:t>
      </w:r>
      <w:bookmarkEnd w:id="0"/>
      <w:r>
        <w:t xml:space="preserve">– zwolnione ze stosowania ustawy </w:t>
      </w:r>
      <w:proofErr w:type="spellStart"/>
      <w:r>
        <w:t>Pzp</w:t>
      </w:r>
      <w:proofErr w:type="spellEnd"/>
      <w:r>
        <w:t xml:space="preserve">. Jest to rozeznanie cenowe w celu badania rynku. Zamawiający informuje, że może nie zawrzeć umowy. </w:t>
      </w:r>
    </w:p>
    <w:p w:rsidR="00CE5DB9" w:rsidRPr="00C41A68" w:rsidRDefault="00CE5DB9" w:rsidP="00CE5DB9">
      <w:pPr>
        <w:pStyle w:val="NormalnyWeb"/>
        <w:spacing w:before="0" w:beforeAutospacing="0" w:after="0"/>
      </w:pPr>
    </w:p>
    <w:p w:rsidR="00CE5DB9" w:rsidRPr="00C41A68" w:rsidRDefault="00CE5DB9" w:rsidP="00CE5DB9">
      <w:pPr>
        <w:pStyle w:val="NormalnyWeb"/>
        <w:spacing w:before="0" w:beforeAutospacing="0" w:after="0"/>
      </w:pPr>
    </w:p>
    <w:p w:rsidR="00CE5DB9" w:rsidRPr="00C41A68" w:rsidRDefault="00CE5DB9" w:rsidP="00CE5DB9">
      <w:pPr>
        <w:pStyle w:val="NormalnyWeb"/>
        <w:spacing w:before="0" w:beforeAutospacing="0" w:after="0"/>
        <w:jc w:val="center"/>
      </w:pPr>
      <w:r w:rsidRPr="00C41A68">
        <w:t>Zamawiający:</w:t>
      </w:r>
    </w:p>
    <w:p w:rsidR="00CE5DB9" w:rsidRPr="00C41A68" w:rsidRDefault="00CE5DB9" w:rsidP="00CE5DB9">
      <w:pPr>
        <w:jc w:val="center"/>
        <w:rPr>
          <w:sz w:val="24"/>
          <w:szCs w:val="24"/>
        </w:rPr>
      </w:pPr>
      <w:r w:rsidRPr="00C41A68">
        <w:rPr>
          <w:sz w:val="24"/>
          <w:szCs w:val="24"/>
        </w:rPr>
        <w:t>Gmina Karpacz reprezentowana przez Burmistrza Karpacza</w:t>
      </w:r>
    </w:p>
    <w:p w:rsidR="00CE5DB9" w:rsidRPr="00C41A68" w:rsidRDefault="00CE5DB9" w:rsidP="00CE5DB9">
      <w:pPr>
        <w:jc w:val="center"/>
        <w:rPr>
          <w:sz w:val="24"/>
          <w:szCs w:val="24"/>
        </w:rPr>
      </w:pPr>
      <w:r w:rsidRPr="00C41A68">
        <w:rPr>
          <w:sz w:val="24"/>
          <w:szCs w:val="24"/>
        </w:rPr>
        <w:t>z siedzibą w Urzędzie Miejskim w Karpaczu ul. Konstytucji 3 Maja 54, 58-540 Karpacz</w:t>
      </w:r>
    </w:p>
    <w:p w:rsidR="00CE5DB9" w:rsidRPr="00C41A68" w:rsidRDefault="00CE5DB9" w:rsidP="00CE5DB9">
      <w:pPr>
        <w:jc w:val="center"/>
        <w:rPr>
          <w:sz w:val="24"/>
          <w:szCs w:val="24"/>
        </w:rPr>
      </w:pPr>
      <w:r w:rsidRPr="00C41A68">
        <w:rPr>
          <w:sz w:val="24"/>
          <w:szCs w:val="24"/>
        </w:rPr>
        <w:t xml:space="preserve">tel. </w:t>
      </w:r>
      <w:r>
        <w:rPr>
          <w:sz w:val="24"/>
          <w:szCs w:val="24"/>
        </w:rPr>
        <w:t>Kancelaria</w:t>
      </w:r>
      <w:r w:rsidRPr="00C41A68">
        <w:rPr>
          <w:sz w:val="24"/>
          <w:szCs w:val="24"/>
        </w:rPr>
        <w:t>: 75 7619 150;    tel. zamówienia publiczne: 75 7616 288</w:t>
      </w:r>
    </w:p>
    <w:p w:rsidR="00CE5DB9" w:rsidRPr="00C41A68" w:rsidRDefault="00CE5DB9" w:rsidP="00CE5DB9">
      <w:pPr>
        <w:pStyle w:val="NormalnyWeb"/>
        <w:spacing w:before="0" w:beforeAutospacing="0" w:after="0"/>
      </w:pPr>
    </w:p>
    <w:p w:rsidR="00CE5DB9" w:rsidRDefault="00CE5DB9" w:rsidP="00CE5DB9">
      <w:pPr>
        <w:pStyle w:val="NormalnyWeb"/>
        <w:spacing w:before="0" w:beforeAutospacing="0" w:after="0"/>
        <w:jc w:val="both"/>
        <w:rPr>
          <w:b/>
        </w:rPr>
      </w:pPr>
    </w:p>
    <w:p w:rsidR="004A474C" w:rsidRPr="004A474C" w:rsidRDefault="00CE5DB9" w:rsidP="004A474C">
      <w:pPr>
        <w:pStyle w:val="NormalnyWeb"/>
        <w:spacing w:before="0" w:beforeAutospacing="0" w:after="0"/>
        <w:jc w:val="both"/>
        <w:rPr>
          <w:iCs/>
        </w:rPr>
      </w:pPr>
      <w:r w:rsidRPr="004B1294">
        <w:rPr>
          <w:b/>
        </w:rPr>
        <w:t>ZAPRASZA</w:t>
      </w:r>
      <w:r w:rsidRPr="004B1294">
        <w:t xml:space="preserve"> do składania ofert dotyczących </w:t>
      </w:r>
      <w:r w:rsidRPr="00B50332">
        <w:t xml:space="preserve">wykonania </w:t>
      </w:r>
      <w:r w:rsidR="004A474C">
        <w:t xml:space="preserve">usługi </w:t>
      </w:r>
      <w:r w:rsidR="004A474C" w:rsidRPr="00A86FD4">
        <w:t>na zadaniu pn.:</w:t>
      </w:r>
      <w:r w:rsidR="004A474C">
        <w:t xml:space="preserve"> </w:t>
      </w:r>
      <w:r w:rsidR="004A474C" w:rsidRPr="004A474C">
        <w:t>„</w:t>
      </w:r>
      <w:r w:rsidR="004A474C" w:rsidRPr="004A474C">
        <w:rPr>
          <w:iCs/>
        </w:rPr>
        <w:t>Rozwój terenów zieleni w Gminie Karpacz poprzez tworzenie i odnowienie terenów zieleni w celu poprawy jakości środowiska – Skwery i Parki”. Zadanie dofinansowane jest ze środków pomocowych Unii Europejskiej w ramach działania 2.5 oś priorytetowa II Programu Operacyjnego Infrastruktura i Środowisko 2014-2020.</w:t>
      </w:r>
    </w:p>
    <w:p w:rsidR="00CE5DB9" w:rsidRDefault="00CE5DB9" w:rsidP="00CE5DB9">
      <w:pPr>
        <w:pStyle w:val="NormalnyWeb"/>
        <w:spacing w:before="0" w:beforeAutospacing="0" w:after="0"/>
        <w:jc w:val="both"/>
      </w:pPr>
    </w:p>
    <w:p w:rsidR="004A474C" w:rsidRDefault="004A474C" w:rsidP="004A474C">
      <w:pPr>
        <w:jc w:val="both"/>
        <w:rPr>
          <w:sz w:val="24"/>
          <w:szCs w:val="24"/>
        </w:rPr>
      </w:pPr>
      <w:r>
        <w:rPr>
          <w:sz w:val="24"/>
          <w:szCs w:val="24"/>
        </w:rPr>
        <w:t>Nadzór archeologiczny obejmuje 5 terenów:</w:t>
      </w:r>
    </w:p>
    <w:p w:rsidR="004A474C" w:rsidRDefault="004A474C" w:rsidP="004A474C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Skwer przy Adama Mickiewicza</w:t>
      </w:r>
    </w:p>
    <w:p w:rsidR="004A474C" w:rsidRDefault="004A474C" w:rsidP="004A474C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Ogród roślin wodnych i bagiennych</w:t>
      </w:r>
    </w:p>
    <w:p w:rsidR="004A474C" w:rsidRDefault="004A474C" w:rsidP="004A474C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Park przy skoczni</w:t>
      </w:r>
    </w:p>
    <w:p w:rsidR="004A474C" w:rsidRDefault="004A474C" w:rsidP="004A474C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Skwer Lipa sądowa</w:t>
      </w:r>
    </w:p>
    <w:p w:rsidR="004A474C" w:rsidRPr="00897FCE" w:rsidRDefault="004A474C" w:rsidP="004A474C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Miejski Park Zabaw</w:t>
      </w:r>
    </w:p>
    <w:p w:rsidR="004A474C" w:rsidRDefault="004A474C" w:rsidP="004A474C">
      <w:pPr>
        <w:jc w:val="both"/>
        <w:rPr>
          <w:sz w:val="24"/>
          <w:szCs w:val="24"/>
        </w:rPr>
      </w:pPr>
      <w:r>
        <w:rPr>
          <w:sz w:val="24"/>
          <w:szCs w:val="24"/>
        </w:rPr>
        <w:t>Dokumentacja obiektów dostępna jest na stronie BIP Urzędu Miejskiego pod adresem:</w:t>
      </w:r>
    </w:p>
    <w:p w:rsidR="004A474C" w:rsidRDefault="001743D3" w:rsidP="004A474C">
      <w:pPr>
        <w:jc w:val="both"/>
        <w:rPr>
          <w:sz w:val="24"/>
          <w:szCs w:val="24"/>
        </w:rPr>
      </w:pPr>
      <w:hyperlink r:id="rId7" w:history="1">
        <w:r w:rsidR="004A474C" w:rsidRPr="004D7939">
          <w:rPr>
            <w:rStyle w:val="Hipercze"/>
            <w:sz w:val="24"/>
            <w:szCs w:val="24"/>
          </w:rPr>
          <w:t>https://bip.karpacz.pl/przetarg/8194/zp-120-38-2018</w:t>
        </w:r>
      </w:hyperlink>
    </w:p>
    <w:p w:rsidR="004A474C" w:rsidRDefault="004A474C" w:rsidP="004A47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zamówienia: </w:t>
      </w:r>
    </w:p>
    <w:p w:rsidR="004A474C" w:rsidRDefault="004A474C" w:rsidP="004A474C">
      <w:pPr>
        <w:jc w:val="both"/>
        <w:rPr>
          <w:sz w:val="24"/>
          <w:szCs w:val="24"/>
        </w:rPr>
      </w:pPr>
    </w:p>
    <w:p w:rsidR="004A474C" w:rsidRDefault="004A474C" w:rsidP="004A474C">
      <w:pPr>
        <w:jc w:val="both"/>
        <w:rPr>
          <w:sz w:val="24"/>
          <w:szCs w:val="24"/>
        </w:rPr>
      </w:pPr>
    </w:p>
    <w:p w:rsidR="004A474C" w:rsidRDefault="004A474C" w:rsidP="004A474C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Pełnienie nadzoru archeologicznego i wykonanie ewentualnych badań ratowniczych, tj. naukowe badanie i dokumentowanie zabytków, które zostaną odkryte w trakcie wykonywania prac ziemnych związanych z wykonaniem zadania oraz uzyskaniem decyzji zezwalającej na prowadzenie badań archeologicznych</w:t>
      </w:r>
    </w:p>
    <w:p w:rsidR="004A474C" w:rsidRDefault="004A474C" w:rsidP="004A474C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Uzyskanie decyzji zezwalającej na prowadzenie badań archeologicznych – na każdy obiekt uzyskano osobną decyzję </w:t>
      </w:r>
      <w:r w:rsidRPr="005620BB">
        <w:rPr>
          <w:i/>
          <w:sz w:val="24"/>
          <w:szCs w:val="24"/>
        </w:rPr>
        <w:t>zezwolenie na podejmowanie innych działań przy zabytku</w:t>
      </w:r>
    </w:p>
    <w:p w:rsidR="004A474C" w:rsidRDefault="004A474C" w:rsidP="004A474C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Wykonanie przedmiotu zamówienia obejmuje inwentaryzację i dokumentację (opisową, rysunkową, fotograficzną) zachowanych reliktów osadnictwa, które zostaną ewentualnie odkryte w obrębie wykonywanych wykopów określonych projektem</w:t>
      </w:r>
    </w:p>
    <w:p w:rsidR="004A474C" w:rsidRDefault="004A474C" w:rsidP="004A474C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wykona dokumentację i sprawozdanie z przeprowadzonego nadzoru archeologicznego zgodnie z wymogami zawartymi w decyzji o pozwoleniu na prowadzenie prac archeologicznych wydanym przez Wojewódzkiego Konserwatora Zabytków</w:t>
      </w:r>
    </w:p>
    <w:p w:rsidR="004A474C" w:rsidRDefault="004A474C" w:rsidP="004A474C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sz w:val="24"/>
          <w:szCs w:val="24"/>
        </w:rPr>
      </w:pPr>
      <w:bookmarkStart w:id="1" w:name="_GoBack"/>
      <w:r>
        <w:rPr>
          <w:sz w:val="24"/>
          <w:szCs w:val="24"/>
        </w:rPr>
        <w:t xml:space="preserve">Dokumentacje należy wykonać w dwóch egzemplarzach, z czego jeden </w:t>
      </w:r>
      <w:bookmarkEnd w:id="1"/>
      <w:r>
        <w:rPr>
          <w:sz w:val="24"/>
          <w:szCs w:val="24"/>
        </w:rPr>
        <w:t>egzemplarz otrzyma Zamawiający, jeden egzemplarz otrzyma Wojewódzki Konserwator Zabytków</w:t>
      </w:r>
    </w:p>
    <w:p w:rsidR="004A474C" w:rsidRDefault="004A474C" w:rsidP="004A474C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Całe zadanie inwestycyjne znajduje się w obszarze wpisanym do rejestru zabytków układu urbanistycznego miasta Karpacz wpisanego pod numerem A/1367/606/J z dnia 26.02.1980 r.</w:t>
      </w:r>
    </w:p>
    <w:p w:rsidR="004A474C" w:rsidRPr="003D0C1B" w:rsidRDefault="004A474C" w:rsidP="004A474C">
      <w:pPr>
        <w:jc w:val="both"/>
        <w:rPr>
          <w:b/>
          <w:sz w:val="24"/>
          <w:szCs w:val="24"/>
        </w:rPr>
      </w:pPr>
      <w:r w:rsidRPr="003D0C1B">
        <w:rPr>
          <w:b/>
          <w:sz w:val="24"/>
          <w:szCs w:val="24"/>
        </w:rPr>
        <w:t>Termin realizacji</w:t>
      </w:r>
      <w:r>
        <w:rPr>
          <w:sz w:val="24"/>
          <w:szCs w:val="24"/>
        </w:rPr>
        <w:t xml:space="preserve"> zadania: do końca trwania umowy na roboty budowlane, zgodnie z SIWZ do </w:t>
      </w:r>
      <w:r w:rsidRPr="003D0C1B">
        <w:rPr>
          <w:b/>
          <w:sz w:val="24"/>
          <w:szCs w:val="24"/>
        </w:rPr>
        <w:t>15 października 2019 r.</w:t>
      </w:r>
    </w:p>
    <w:p w:rsidR="004A474C" w:rsidRPr="00897FCE" w:rsidRDefault="004A474C" w:rsidP="004A474C">
      <w:pPr>
        <w:jc w:val="both"/>
        <w:rPr>
          <w:sz w:val="24"/>
          <w:szCs w:val="24"/>
        </w:rPr>
      </w:pPr>
      <w:r>
        <w:rPr>
          <w:sz w:val="24"/>
          <w:szCs w:val="24"/>
        </w:rPr>
        <w:t>Dokumentację należy przekazać w terminie 2 tygodni od daty odbioru robót budowlanych przez Zamawiającego.</w:t>
      </w:r>
    </w:p>
    <w:p w:rsidR="004A474C" w:rsidRDefault="004A474C" w:rsidP="00CE5DB9">
      <w:pPr>
        <w:pStyle w:val="NormalnyWeb"/>
        <w:spacing w:before="0" w:beforeAutospacing="0" w:after="0"/>
        <w:jc w:val="both"/>
      </w:pPr>
    </w:p>
    <w:p w:rsidR="00CE5DB9" w:rsidRPr="00472A8E" w:rsidRDefault="00CE5DB9" w:rsidP="00CE5DB9">
      <w:pPr>
        <w:widowControl w:val="0"/>
        <w:suppressAutoHyphens/>
        <w:rPr>
          <w:b/>
          <w:sz w:val="24"/>
          <w:szCs w:val="24"/>
          <w:u w:val="single"/>
        </w:rPr>
      </w:pPr>
      <w:r w:rsidRPr="00472A8E">
        <w:rPr>
          <w:b/>
          <w:sz w:val="24"/>
          <w:szCs w:val="24"/>
          <w:u w:val="single"/>
        </w:rPr>
        <w:t>Warunki udziału</w:t>
      </w:r>
    </w:p>
    <w:p w:rsidR="004A474C" w:rsidRDefault="00CE5DB9" w:rsidP="004A474C">
      <w:pPr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</w:pPr>
      <w:r w:rsidRPr="00472A8E">
        <w:rPr>
          <w:sz w:val="24"/>
          <w:szCs w:val="24"/>
        </w:rPr>
        <w:t xml:space="preserve">O udzielenie zamówienia mogą ubiegać się wykonawcy, którzy </w:t>
      </w:r>
      <w:r w:rsidRPr="00472A8E">
        <w:rPr>
          <w:rFonts w:eastAsia="Tahoma"/>
          <w:sz w:val="24"/>
          <w:szCs w:val="24"/>
        </w:rPr>
        <w:t>dysponują osobami zdolnymi do wykonania zadania</w:t>
      </w:r>
      <w:r w:rsidR="004A474C">
        <w:rPr>
          <w:rFonts w:eastAsia="Tahoma"/>
          <w:sz w:val="24"/>
          <w:szCs w:val="24"/>
        </w:rPr>
        <w:t xml:space="preserve">, </w:t>
      </w:r>
      <w:r w:rsidRPr="00472A8E">
        <w:rPr>
          <w:sz w:val="24"/>
          <w:szCs w:val="24"/>
        </w:rPr>
        <w:t xml:space="preserve">posiadającymi </w:t>
      </w:r>
      <w:r w:rsidR="004A474C">
        <w:rPr>
          <w:sz w:val="24"/>
          <w:szCs w:val="24"/>
        </w:rPr>
        <w:t>wymagane odpowiednie</w:t>
      </w:r>
      <w:r w:rsidRPr="00472A8E">
        <w:rPr>
          <w:sz w:val="24"/>
          <w:szCs w:val="24"/>
        </w:rPr>
        <w:t xml:space="preserve"> uprawnienia</w:t>
      </w:r>
      <w:r w:rsidR="004A474C">
        <w:rPr>
          <w:sz w:val="24"/>
          <w:szCs w:val="24"/>
        </w:rPr>
        <w:t xml:space="preserve">, </w:t>
      </w:r>
      <w:r w:rsidR="004A474C" w:rsidRPr="00223922">
        <w:t>określone przepisami Rozporządzenia Ministra Kultury z dnia 9 czerwca 2004 r. w sprawie prowadzenia prac konserwatorskich, robót budowlanych, badań konserwatorskich i architektonicznych, a także innych działań przy zabytku wpisanym do rejestru zabytków oraz badań archeologicznych i poszukiwań ukrytych lub porzuconych zabytków ruchomych (Dz. U. z 2004 r. poz. 1789).</w:t>
      </w:r>
    </w:p>
    <w:p w:rsidR="004A474C" w:rsidRDefault="00CE5DB9" w:rsidP="001A363C">
      <w:pPr>
        <w:rPr>
          <w:b/>
          <w:bCs/>
          <w:sz w:val="24"/>
          <w:szCs w:val="24"/>
        </w:rPr>
      </w:pPr>
      <w:r w:rsidRPr="00472A8E">
        <w:rPr>
          <w:sz w:val="24"/>
          <w:szCs w:val="24"/>
        </w:rPr>
        <w:t xml:space="preserve"> </w:t>
      </w:r>
    </w:p>
    <w:p w:rsidR="00CE5DB9" w:rsidRDefault="00CE5DB9" w:rsidP="00CE5DB9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b/>
          <w:bCs/>
          <w:sz w:val="24"/>
          <w:szCs w:val="24"/>
        </w:rPr>
      </w:pPr>
      <w:r w:rsidRPr="00B40D9D">
        <w:rPr>
          <w:b/>
          <w:bCs/>
          <w:sz w:val="24"/>
          <w:szCs w:val="24"/>
        </w:rPr>
        <w:t xml:space="preserve">Istotne dla stron postanowienia, które zostaną wprowadzone do treści zawieranej umowy w sprawie zamówienia publicznego: </w:t>
      </w:r>
    </w:p>
    <w:p w:rsidR="00CE5DB9" w:rsidRPr="00B40D9D" w:rsidRDefault="00CE5DB9" w:rsidP="00CE5DB9">
      <w:pPr>
        <w:pStyle w:val="Akapitzlist"/>
        <w:ind w:left="1080"/>
        <w:jc w:val="both"/>
        <w:rPr>
          <w:b/>
          <w:bCs/>
          <w:sz w:val="24"/>
          <w:szCs w:val="24"/>
        </w:rPr>
      </w:pPr>
    </w:p>
    <w:p w:rsidR="00CE5DB9" w:rsidRDefault="00CE5DB9" w:rsidP="00CE5DB9">
      <w:pPr>
        <w:jc w:val="both"/>
        <w:rPr>
          <w:sz w:val="24"/>
          <w:szCs w:val="24"/>
        </w:rPr>
      </w:pPr>
      <w:r w:rsidRPr="00591A96">
        <w:rPr>
          <w:sz w:val="24"/>
          <w:szCs w:val="24"/>
        </w:rPr>
        <w:t xml:space="preserve">W przypadku wybrania Państwa oferty, proponujemy spisanie umowy, między innymi na warunkach podanych poniżej: </w:t>
      </w:r>
    </w:p>
    <w:p w:rsidR="001A363C" w:rsidRDefault="001A363C" w:rsidP="00CE5DB9">
      <w:pPr>
        <w:jc w:val="both"/>
        <w:rPr>
          <w:sz w:val="24"/>
          <w:szCs w:val="24"/>
        </w:rPr>
      </w:pPr>
    </w:p>
    <w:p w:rsidR="00CE5DB9" w:rsidRPr="007643D2" w:rsidRDefault="00CE5DB9" w:rsidP="00CE5DB9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bookmarkStart w:id="2" w:name="_Hlk518553388"/>
      <w:r w:rsidRPr="007643D2">
        <w:rPr>
          <w:sz w:val="24"/>
          <w:szCs w:val="24"/>
        </w:rPr>
        <w:t xml:space="preserve">Wynagrodzenie </w:t>
      </w:r>
      <w:r w:rsidRPr="007643D2">
        <w:rPr>
          <w:bCs/>
          <w:sz w:val="24"/>
          <w:szCs w:val="24"/>
          <w:u w:val="single"/>
        </w:rPr>
        <w:t>ryczałtowe</w:t>
      </w:r>
      <w:r w:rsidRPr="007643D2">
        <w:rPr>
          <w:sz w:val="24"/>
          <w:szCs w:val="24"/>
        </w:rPr>
        <w:t xml:space="preserve"> za przedmiot umowy zgodnie z przeprowadzonym </w:t>
      </w:r>
      <w:r>
        <w:rPr>
          <w:sz w:val="24"/>
          <w:szCs w:val="24"/>
        </w:rPr>
        <w:t>zapytaniem ofertowym,</w:t>
      </w:r>
      <w:r w:rsidRPr="007643D2">
        <w:rPr>
          <w:sz w:val="24"/>
          <w:szCs w:val="24"/>
        </w:rPr>
        <w:t xml:space="preserve"> w myśl postanowień art. 632 Kodeksu cywilnego. </w:t>
      </w:r>
    </w:p>
    <w:p w:rsidR="00CE5DB9" w:rsidRPr="007643D2" w:rsidRDefault="00CE5DB9" w:rsidP="00CE5DB9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7643D2">
        <w:rPr>
          <w:sz w:val="24"/>
          <w:szCs w:val="24"/>
        </w:rPr>
        <w:t xml:space="preserve">Ryczałt nie przewiduje zwiększenia wynagrodzenia z powodu </w:t>
      </w:r>
      <w:r>
        <w:rPr>
          <w:sz w:val="24"/>
          <w:szCs w:val="24"/>
        </w:rPr>
        <w:t xml:space="preserve">ewentualnego </w:t>
      </w:r>
      <w:r w:rsidRPr="007643D2">
        <w:rPr>
          <w:sz w:val="24"/>
          <w:szCs w:val="24"/>
        </w:rPr>
        <w:t>wydłużonego terminu realizacji zadania.</w:t>
      </w:r>
    </w:p>
    <w:bookmarkEnd w:id="2"/>
    <w:p w:rsidR="00CE5DB9" w:rsidRDefault="00CE5DB9" w:rsidP="00CE5DB9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D8079A">
        <w:rPr>
          <w:sz w:val="24"/>
          <w:szCs w:val="24"/>
        </w:rPr>
        <w:t xml:space="preserve">Kwota wymieniona w pkt 1 zawiera wszystkie koszty związane z realizacją zadania niezbędne do jego wykonania. </w:t>
      </w:r>
    </w:p>
    <w:p w:rsidR="00CE5DB9" w:rsidRPr="00CC184D" w:rsidRDefault="00CE5DB9" w:rsidP="00CE5DB9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CC184D">
        <w:rPr>
          <w:sz w:val="24"/>
          <w:szCs w:val="24"/>
        </w:rPr>
        <w:t>Zamawiający nie udzieli zaliczek na poczet wykonania zamówienia.</w:t>
      </w:r>
    </w:p>
    <w:p w:rsidR="001A363C" w:rsidRDefault="00CE5DB9" w:rsidP="001A363C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CA5106">
        <w:rPr>
          <w:sz w:val="24"/>
          <w:szCs w:val="24"/>
        </w:rPr>
        <w:t xml:space="preserve">Wykonawca zobowiązany jest wykonać przedmiot umowy z materiałów własnych. </w:t>
      </w:r>
    </w:p>
    <w:p w:rsidR="001A363C" w:rsidRDefault="001A363C" w:rsidP="001A363C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1A363C">
        <w:rPr>
          <w:szCs w:val="24"/>
        </w:rPr>
        <w:t>Od daty przejęcia terenu badań do momentu zakończenia prac Wykonawca ponosi odpowiedzialność na zasadach ogólnych za wszystkie szkody spowodowane jego działaniem wynikłe na tym terenie.</w:t>
      </w:r>
      <w:r>
        <w:rPr>
          <w:sz w:val="24"/>
          <w:szCs w:val="24"/>
        </w:rPr>
        <w:t xml:space="preserve"> </w:t>
      </w:r>
    </w:p>
    <w:p w:rsidR="001A363C" w:rsidRDefault="001A363C" w:rsidP="001A363C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1A363C">
        <w:rPr>
          <w:szCs w:val="24"/>
        </w:rPr>
        <w:t>Wykonawca zapewnia, ze dysponuje środkami technicznymi potrzebnymi do należytego wykonania niniejszej umowy.</w:t>
      </w:r>
    </w:p>
    <w:p w:rsidR="001A363C" w:rsidRDefault="001A363C" w:rsidP="001A363C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1A363C">
        <w:rPr>
          <w:szCs w:val="24"/>
        </w:rPr>
        <w:t>Wykonawca zobowiązany jest do wypełnienia warunków określonych przez właściwego konserwatora zabytków, w tym do przekazywania dokumentacji i przechowywania odkrytych artefaktów w miejscu wymienionym w decyzji udzielającej pozwolenia na prowadzenie badań.</w:t>
      </w:r>
    </w:p>
    <w:p w:rsidR="001A363C" w:rsidRDefault="001A363C" w:rsidP="001A363C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1A363C">
        <w:rPr>
          <w:szCs w:val="24"/>
        </w:rPr>
        <w:t>Zamawiający zobowiązany jest w przypadku odkrycia artefaktów wymagających konserwacji pokrycia kosztów ich konserwacji zgodnie z wymogami właściwego muzeum wymienionego w decyzji Dolnośląskiego Urzędu Ochrony Zabytków.</w:t>
      </w:r>
    </w:p>
    <w:p w:rsidR="001A363C" w:rsidRDefault="001A363C" w:rsidP="001A363C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1A363C">
        <w:rPr>
          <w:szCs w:val="24"/>
        </w:rPr>
        <w:t>Dokumentacja badań będzie wykonana zgodnie ze standardami określonymi w przepisach prawa w tym zakresie.</w:t>
      </w:r>
    </w:p>
    <w:p w:rsidR="001A363C" w:rsidRDefault="001A363C" w:rsidP="001A363C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1A363C">
        <w:rPr>
          <w:szCs w:val="24"/>
        </w:rPr>
        <w:t>Wykonawca ma prawo przygotować i wydać na własny koszt naukową publikację wyników badań.</w:t>
      </w:r>
    </w:p>
    <w:p w:rsidR="001A363C" w:rsidRPr="001A363C" w:rsidRDefault="001A363C" w:rsidP="001A363C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223922">
        <w:t>Strony postanawiają, że wiążącą je formą odszkodowania będą kary umowne, które naliczane będą w następujących wypadkach i wysokościach:</w:t>
      </w:r>
    </w:p>
    <w:p w:rsidR="001A363C" w:rsidRPr="00223922" w:rsidRDefault="001A363C" w:rsidP="001A363C">
      <w:pPr>
        <w:numPr>
          <w:ilvl w:val="4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223922">
        <w:t xml:space="preserve">Wykonawca zapłaci Zamawiającemu kary umowne w przypadku: </w:t>
      </w:r>
    </w:p>
    <w:p w:rsidR="001A363C" w:rsidRPr="00223922" w:rsidRDefault="001A363C" w:rsidP="001A363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223922">
        <w:t xml:space="preserve">odstąpienia od umowy z winy Wykonawcy - w wysokości 20 % </w:t>
      </w:r>
      <w:r>
        <w:t>wynagrodzenia brutto, o którym mowa w § 8 ust. 1 niniejszej umowy</w:t>
      </w:r>
      <w:r w:rsidRPr="00223922">
        <w:t xml:space="preserve">, </w:t>
      </w:r>
    </w:p>
    <w:p w:rsidR="001A363C" w:rsidRPr="00223922" w:rsidRDefault="001A363C" w:rsidP="001A363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223922">
        <w:t xml:space="preserve">za zwłokę w wykonaniu przedmiotu umowy w wysokości 0,1 % wynagrodzenia brutto, za każdy dzień zwłoki, </w:t>
      </w:r>
    </w:p>
    <w:p w:rsidR="001A363C" w:rsidRPr="00223922" w:rsidRDefault="001A363C" w:rsidP="001A363C">
      <w:pPr>
        <w:numPr>
          <w:ilvl w:val="0"/>
          <w:numId w:val="20"/>
        </w:numPr>
        <w:tabs>
          <w:tab w:val="clear" w:pos="2148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</w:pPr>
      <w:r w:rsidRPr="00223922">
        <w:t>Zamawiający zapłaci Wykonawc</w:t>
      </w:r>
      <w:r>
        <w:t>y</w:t>
      </w:r>
      <w:r w:rsidRPr="00223922">
        <w:t xml:space="preserve"> kary </w:t>
      </w:r>
      <w:r>
        <w:t>umowne</w:t>
      </w:r>
      <w:r w:rsidRPr="00223922">
        <w:t xml:space="preserve"> w przypadku:</w:t>
      </w:r>
    </w:p>
    <w:p w:rsidR="001A363C" w:rsidRPr="00223922" w:rsidRDefault="001A363C" w:rsidP="001A363C">
      <w:pPr>
        <w:numPr>
          <w:ilvl w:val="1"/>
          <w:numId w:val="20"/>
        </w:numPr>
        <w:tabs>
          <w:tab w:val="clear" w:pos="14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</w:pPr>
      <w:r w:rsidRPr="00223922">
        <w:t xml:space="preserve">odstąpienia od umowy z winy Zamawiającego – w wysokości 20 % </w:t>
      </w:r>
      <w:r>
        <w:t>wynagrodzenia brutto, o którym mowa w § 8 ust. 1 niniejszej umowy.</w:t>
      </w:r>
    </w:p>
    <w:p w:rsidR="001A363C" w:rsidRPr="001A363C" w:rsidRDefault="001A363C" w:rsidP="001A363C">
      <w:pPr>
        <w:pStyle w:val="Akapitzlist"/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502"/>
        <w:jc w:val="both"/>
        <w:textAlignment w:val="baseline"/>
        <w:rPr>
          <w:sz w:val="24"/>
          <w:szCs w:val="24"/>
        </w:rPr>
      </w:pPr>
      <w:r w:rsidRPr="001A363C">
        <w:rPr>
          <w:sz w:val="24"/>
          <w:szCs w:val="24"/>
        </w:rPr>
        <w:t xml:space="preserve">Niezależnie od kary umownej Wykonawca jest zobowiązany do zapłacenia Zamawiającemu odszkodowania za szkodę przekraczającą wysokość kar umownych, wyrządzoną na skutek niewykonania lub nienależytego wykonania zobowiązania, </w:t>
      </w:r>
    </w:p>
    <w:p w:rsidR="001A363C" w:rsidRPr="001A363C" w:rsidRDefault="001A363C" w:rsidP="001A363C">
      <w:pPr>
        <w:pStyle w:val="Akapitzlist"/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502"/>
        <w:jc w:val="both"/>
        <w:textAlignment w:val="baseline"/>
        <w:rPr>
          <w:sz w:val="24"/>
          <w:szCs w:val="24"/>
        </w:rPr>
      </w:pPr>
      <w:r w:rsidRPr="001A363C">
        <w:rPr>
          <w:sz w:val="24"/>
          <w:szCs w:val="24"/>
        </w:rPr>
        <w:t xml:space="preserve">W przypadku zwłoki w płatności faktury Zamawiający zobowiązuje się zapłacić Wykonawcy odsetki ustawowe od wartości faktury za czas opóźnienia. </w:t>
      </w:r>
    </w:p>
    <w:p w:rsidR="001A363C" w:rsidRPr="001A363C" w:rsidRDefault="001A363C" w:rsidP="001A363C">
      <w:pPr>
        <w:pStyle w:val="Akapitzlist"/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502"/>
        <w:jc w:val="both"/>
        <w:rPr>
          <w:sz w:val="24"/>
          <w:szCs w:val="24"/>
        </w:rPr>
      </w:pPr>
      <w:r w:rsidRPr="001A363C">
        <w:rPr>
          <w:sz w:val="24"/>
          <w:szCs w:val="24"/>
        </w:rPr>
        <w:t>Za datę zapłaty strony uważają dzień obciążenia konta bankowego Zamawiającego,</w:t>
      </w:r>
    </w:p>
    <w:p w:rsidR="001A363C" w:rsidRPr="001A363C" w:rsidRDefault="001A363C" w:rsidP="001A363C">
      <w:pPr>
        <w:pStyle w:val="Akapitzlist"/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502"/>
        <w:jc w:val="both"/>
        <w:rPr>
          <w:sz w:val="24"/>
          <w:szCs w:val="24"/>
        </w:rPr>
      </w:pPr>
      <w:r w:rsidRPr="001A363C">
        <w:rPr>
          <w:sz w:val="24"/>
          <w:szCs w:val="24"/>
        </w:rPr>
        <w:t xml:space="preserve">Strony postanawiają, że Wykonawca nie może przenieść na osoby trzecie wierzytelności wynikających z niniejszej umowy,  </w:t>
      </w:r>
    </w:p>
    <w:p w:rsidR="001A363C" w:rsidRDefault="001A363C" w:rsidP="001A363C">
      <w:pPr>
        <w:pStyle w:val="Akapitzlist"/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502"/>
        <w:jc w:val="both"/>
        <w:textAlignment w:val="baseline"/>
        <w:rPr>
          <w:sz w:val="24"/>
          <w:szCs w:val="24"/>
        </w:rPr>
      </w:pPr>
      <w:r w:rsidRPr="001A363C">
        <w:rPr>
          <w:sz w:val="24"/>
          <w:szCs w:val="24"/>
        </w:rPr>
        <w:t>Za termin realizacji zamówienia uznaje się dzień przekazania Zamawiającemu sprawozdania z nadzoru archeologicznego wraz z protokołem odbioru badań i przekazania dokumentacji archeologicznej potwierdzonym przez Wojewódzki Urząd Ochrony Zabytków we Wrocławiu, Delegatura w Jeleniej Górze.</w:t>
      </w:r>
    </w:p>
    <w:p w:rsidR="001A363C" w:rsidRPr="001A363C" w:rsidRDefault="001A363C" w:rsidP="001A363C">
      <w:pPr>
        <w:pStyle w:val="Akapitzlist"/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502"/>
        <w:jc w:val="both"/>
        <w:textAlignment w:val="baseline"/>
        <w:rPr>
          <w:sz w:val="24"/>
          <w:szCs w:val="24"/>
        </w:rPr>
      </w:pPr>
      <w:r w:rsidRPr="00223922">
        <w:t>Podstawą do wystawienia faktury rachunku będzie protokół zdawczo-odbiorczy.</w:t>
      </w:r>
    </w:p>
    <w:p w:rsidR="001A363C" w:rsidRPr="001A363C" w:rsidRDefault="001A363C" w:rsidP="001A363C">
      <w:pPr>
        <w:pStyle w:val="Akapitzlist"/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502"/>
        <w:jc w:val="both"/>
        <w:textAlignment w:val="baseline"/>
        <w:rPr>
          <w:sz w:val="24"/>
          <w:szCs w:val="24"/>
        </w:rPr>
      </w:pPr>
      <w:r w:rsidRPr="00223922">
        <w:t xml:space="preserve">Wykonawca zobowiązany jest do dostarczenia przedmiotu zamówienia do siedziby Zamawiającego na swój koszt. </w:t>
      </w:r>
    </w:p>
    <w:p w:rsidR="001A363C" w:rsidRDefault="001A363C" w:rsidP="001A363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A363C" w:rsidRDefault="001A363C" w:rsidP="001A363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E5DB9" w:rsidRPr="00CA5106" w:rsidRDefault="00CE5DB9" w:rsidP="00CE5DB9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CA5106">
        <w:rPr>
          <w:sz w:val="24"/>
          <w:szCs w:val="24"/>
        </w:rPr>
        <w:t>Rozliczenie wynagrodzenia za wykonanie przedmiotu umowy nastąpi fakturą końcową za całkowicie zakończone zadanie.</w:t>
      </w:r>
    </w:p>
    <w:p w:rsidR="00CE5DB9" w:rsidRPr="00CA5106" w:rsidRDefault="00CE5DB9" w:rsidP="00CE5DB9">
      <w:pPr>
        <w:pStyle w:val="Tekstpodstawowy"/>
        <w:numPr>
          <w:ilvl w:val="4"/>
          <w:numId w:val="14"/>
        </w:numPr>
        <w:spacing w:after="0"/>
        <w:ind w:left="426" w:hanging="426"/>
        <w:jc w:val="both"/>
        <w:textAlignment w:val="auto"/>
        <w:rPr>
          <w:sz w:val="24"/>
          <w:szCs w:val="24"/>
        </w:rPr>
      </w:pPr>
      <w:r w:rsidRPr="00CA5106">
        <w:rPr>
          <w:sz w:val="24"/>
          <w:szCs w:val="24"/>
        </w:rPr>
        <w:t>Wystawienie faktury końcowej następuje na podstawie podpisanego przez Zamawiającego protokołu odbioru końcowego.</w:t>
      </w:r>
    </w:p>
    <w:p w:rsidR="00CE5DB9" w:rsidRPr="00CA5106" w:rsidRDefault="00CE5DB9" w:rsidP="00CE5DB9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CA5106">
        <w:rPr>
          <w:sz w:val="24"/>
          <w:szCs w:val="24"/>
        </w:rPr>
        <w:t xml:space="preserve">Zamawiający zobowiązuje się zapłacić faktury VAT przelewem w terminie </w:t>
      </w:r>
      <w:r>
        <w:rPr>
          <w:sz w:val="24"/>
          <w:szCs w:val="24"/>
        </w:rPr>
        <w:t>do 30</w:t>
      </w:r>
      <w:r w:rsidRPr="00CA5106">
        <w:rPr>
          <w:sz w:val="24"/>
          <w:szCs w:val="24"/>
        </w:rPr>
        <w:t xml:space="preserve"> dni od daty  otrzymania faktury VAT przez Zamawiającego.  </w:t>
      </w:r>
    </w:p>
    <w:p w:rsidR="00CE5DB9" w:rsidRPr="00CA5106" w:rsidRDefault="00CE5DB9" w:rsidP="00CE5DB9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sz w:val="24"/>
          <w:szCs w:val="24"/>
        </w:rPr>
      </w:pPr>
      <w:r w:rsidRPr="00CA5106">
        <w:rPr>
          <w:sz w:val="24"/>
          <w:szCs w:val="24"/>
        </w:rPr>
        <w:t>Za datę zapłaty strony uważają dzień obciążenia konta bankowego Zamawiającego.</w:t>
      </w:r>
    </w:p>
    <w:p w:rsidR="00CE5DB9" w:rsidRPr="00CA5106" w:rsidRDefault="00CE5DB9" w:rsidP="00CE5DB9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CA5106">
        <w:rPr>
          <w:sz w:val="24"/>
          <w:szCs w:val="24"/>
        </w:rPr>
        <w:t xml:space="preserve">W przypadku zwłoki w płatności faktury Zamawiający zobowiązuje się zapłacić Wykonawcy odsetki ustawowe od wartości faktury za czas opóźnienia. </w:t>
      </w:r>
    </w:p>
    <w:p w:rsidR="001A363C" w:rsidRDefault="00CE5DB9" w:rsidP="001A363C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CA5106">
        <w:rPr>
          <w:sz w:val="24"/>
          <w:szCs w:val="24"/>
        </w:rPr>
        <w:t>Strony postanawiają, że Wykonawca nie może przenieść na osoby trzecie wierzytelności wynikających z niniejszej umowy</w:t>
      </w:r>
      <w:r>
        <w:rPr>
          <w:sz w:val="24"/>
          <w:szCs w:val="24"/>
        </w:rPr>
        <w:t>, bez pisemnej zgody Zamawiającego</w:t>
      </w:r>
      <w:r w:rsidRPr="00CA5106">
        <w:rPr>
          <w:sz w:val="24"/>
          <w:szCs w:val="24"/>
        </w:rPr>
        <w:t xml:space="preserve">.     </w:t>
      </w:r>
    </w:p>
    <w:p w:rsidR="001A363C" w:rsidRPr="001A363C" w:rsidRDefault="001A363C" w:rsidP="001A363C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223922">
        <w:t>Wykonawca może powierzyć wykonanie części usług podwykonawcy pod warunkiem, że posiada on</w:t>
      </w:r>
      <w:r>
        <w:t xml:space="preserve"> kwalifikacje do ich wykonania.</w:t>
      </w:r>
      <w:r w:rsidRPr="00223922">
        <w:t xml:space="preserve"> </w:t>
      </w:r>
    </w:p>
    <w:p w:rsidR="001A363C" w:rsidRPr="001A363C" w:rsidRDefault="001A363C" w:rsidP="001A363C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223922">
        <w:t>Zamawiający może zażądać od Wykonawcy przedstawienia dokumentów potwierdzających kwalifikacje podwykonawcy. Zamawiający wyznacza termin na dostarczenie powyższych dokumentów, termin ten jednak</w:t>
      </w:r>
      <w:r>
        <w:t xml:space="preserve"> nie może być krótszy niż 3 dni.</w:t>
      </w:r>
    </w:p>
    <w:p w:rsidR="001A363C" w:rsidRPr="001A363C" w:rsidRDefault="001A363C" w:rsidP="001A363C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223922">
        <w:t>Zamawiający w terminie 7 dni od otrzymania wniosku może zgłosić sprzeciw lub zastrzeżenia i żądać zmiany wskazanego podwy</w:t>
      </w:r>
      <w:r>
        <w:t>konawcy z podaniem uzasadnienia.</w:t>
      </w:r>
      <w:r w:rsidRPr="00223922">
        <w:t xml:space="preserve">  </w:t>
      </w:r>
    </w:p>
    <w:p w:rsidR="00CE5DB9" w:rsidRDefault="00CE5DB9" w:rsidP="00CE5DB9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367F26">
        <w:rPr>
          <w:sz w:val="24"/>
          <w:szCs w:val="24"/>
        </w:rPr>
        <w:t xml:space="preserve">Wykonanie prac w podwykonawstwie nie zwalnia Wykonawcy z odpowiedzialności za wykonanie obowiązków wynikających z umowy i obowiązujących przepisów prawa. Wykonawca odpowiada za działania i zaniechania podwykonawców jak za własne. </w:t>
      </w:r>
    </w:p>
    <w:p w:rsidR="00CE5DB9" w:rsidRPr="00367F26" w:rsidRDefault="00CE5DB9" w:rsidP="00CE5DB9">
      <w:pPr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367F26">
        <w:rPr>
          <w:sz w:val="24"/>
          <w:szCs w:val="24"/>
        </w:rPr>
        <w:t xml:space="preserve">Zamawiający przewiduje zmianę postanowień zawartej umowy dotyczącą: </w:t>
      </w:r>
    </w:p>
    <w:p w:rsidR="00CE5DB9" w:rsidRDefault="00CE5DB9" w:rsidP="00CE5DB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terminu, w przypadku niesprzyjających warunków atmosferycznych;  </w:t>
      </w:r>
    </w:p>
    <w:p w:rsidR="00CE5DB9" w:rsidRDefault="00CE5DB9" w:rsidP="00CE5DB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podatku VAT, w przypadku zmiany przepisów;</w:t>
      </w:r>
    </w:p>
    <w:p w:rsidR="00CE5DB9" w:rsidRDefault="00CE5DB9" w:rsidP="00CE5DB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danych związanych z obsługą </w:t>
      </w:r>
      <w:proofErr w:type="spellStart"/>
      <w:r>
        <w:rPr>
          <w:sz w:val="24"/>
          <w:szCs w:val="24"/>
        </w:rPr>
        <w:t>administracyjno</w:t>
      </w:r>
      <w:proofErr w:type="spellEnd"/>
      <w:r>
        <w:rPr>
          <w:sz w:val="24"/>
          <w:szCs w:val="24"/>
        </w:rPr>
        <w:t xml:space="preserve"> - organizacyjną Umowy (np.  zmiana rachunku bankowego);</w:t>
      </w:r>
    </w:p>
    <w:p w:rsidR="00CE5DB9" w:rsidRPr="006F4D4C" w:rsidRDefault="00CE5DB9" w:rsidP="00CE5DB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zmiany danych teleadresowych, zmiany osób wskazanych do kontaktów między stronami. </w:t>
      </w:r>
    </w:p>
    <w:p w:rsidR="00CE5DB9" w:rsidRDefault="00CE5DB9" w:rsidP="00CE5DB9">
      <w:pPr>
        <w:pStyle w:val="Akapitzlist"/>
        <w:jc w:val="both"/>
        <w:rPr>
          <w:sz w:val="24"/>
          <w:szCs w:val="24"/>
        </w:rPr>
      </w:pPr>
    </w:p>
    <w:p w:rsidR="00CE5DB9" w:rsidRDefault="00CE5DB9" w:rsidP="00CE5DB9">
      <w:pPr>
        <w:jc w:val="both"/>
        <w:rPr>
          <w:b/>
          <w:bCs/>
          <w:sz w:val="24"/>
          <w:szCs w:val="24"/>
        </w:rPr>
      </w:pPr>
      <w:bookmarkStart w:id="3" w:name="_Hlk515347111"/>
      <w:r>
        <w:rPr>
          <w:b/>
          <w:bCs/>
          <w:sz w:val="24"/>
          <w:szCs w:val="24"/>
        </w:rPr>
        <w:t xml:space="preserve">III. Informacje administracyjne: </w:t>
      </w:r>
    </w:p>
    <w:bookmarkEnd w:id="3"/>
    <w:p w:rsidR="00CE5DB9" w:rsidRPr="00732B49" w:rsidRDefault="00CE5DB9" w:rsidP="00CE5DB9">
      <w:pPr>
        <w:pStyle w:val="Tekstprzypisudolneg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32B49">
        <w:rPr>
          <w:rFonts w:ascii="Times New Roman" w:hAnsi="Times New Roman"/>
          <w:i/>
          <w:sz w:val="24"/>
          <w:szCs w:val="24"/>
          <w:u w:val="single"/>
        </w:rPr>
        <w:t>Klauzula informacyjna z art. 13 RODO dot. postępowania o udzielenie zamówienia publicznego</w:t>
      </w:r>
    </w:p>
    <w:p w:rsidR="00CE5DB9" w:rsidRPr="00732B49" w:rsidRDefault="00CE5DB9" w:rsidP="00CE5DB9">
      <w:pPr>
        <w:jc w:val="both"/>
        <w:rPr>
          <w:sz w:val="24"/>
          <w:szCs w:val="24"/>
        </w:rPr>
      </w:pPr>
    </w:p>
    <w:p w:rsidR="00CE5DB9" w:rsidRPr="00193AE8" w:rsidRDefault="00CE5DB9" w:rsidP="00CE5DB9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contextualSpacing w:val="0"/>
        <w:jc w:val="both"/>
        <w:rPr>
          <w:sz w:val="24"/>
          <w:szCs w:val="24"/>
        </w:rPr>
      </w:pPr>
      <w:r w:rsidRPr="00193AE8">
        <w:rPr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E5DB9" w:rsidRPr="00732B49" w:rsidRDefault="00CE5DB9" w:rsidP="00CE5D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i/>
          <w:sz w:val="24"/>
          <w:szCs w:val="24"/>
        </w:rPr>
      </w:pPr>
      <w:r w:rsidRPr="00732B49">
        <w:rPr>
          <w:sz w:val="24"/>
          <w:szCs w:val="24"/>
        </w:rPr>
        <w:t xml:space="preserve">administratorem Pani/Pana danych osobowych jest </w:t>
      </w:r>
      <w:r>
        <w:rPr>
          <w:sz w:val="24"/>
          <w:szCs w:val="24"/>
        </w:rPr>
        <w:t xml:space="preserve">Burmistrz </w:t>
      </w:r>
      <w:r w:rsidRPr="00732B49">
        <w:rPr>
          <w:sz w:val="24"/>
          <w:szCs w:val="24"/>
        </w:rPr>
        <w:t>Karpacz</w:t>
      </w:r>
      <w:r>
        <w:rPr>
          <w:sz w:val="24"/>
          <w:szCs w:val="24"/>
        </w:rPr>
        <w:t>a</w:t>
      </w:r>
      <w:r w:rsidRPr="00732B49">
        <w:rPr>
          <w:sz w:val="24"/>
          <w:szCs w:val="24"/>
        </w:rPr>
        <w:t xml:space="preserve"> ul. Konstytucji 3 Maja 54, 58-540 Karpacz; tel. 75 7619 150, e-mail: </w:t>
      </w:r>
      <w:hyperlink r:id="rId8" w:history="1">
        <w:r w:rsidRPr="00732B49">
          <w:rPr>
            <w:rStyle w:val="Hipercze"/>
            <w:sz w:val="24"/>
            <w:szCs w:val="24"/>
          </w:rPr>
          <w:t>kancelaria@karpacz.eu</w:t>
        </w:r>
      </w:hyperlink>
      <w:r w:rsidRPr="00732B49">
        <w:rPr>
          <w:sz w:val="24"/>
          <w:szCs w:val="24"/>
        </w:rPr>
        <w:t xml:space="preserve"> ;</w:t>
      </w:r>
    </w:p>
    <w:p w:rsidR="00CE5DB9" w:rsidRDefault="00CE5DB9" w:rsidP="00CE5D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32B49">
        <w:rPr>
          <w:sz w:val="24"/>
          <w:szCs w:val="24"/>
        </w:rPr>
        <w:t xml:space="preserve">inspektorem ochrony danych osobowych w Gminie Karpacz jest Pan Patryk Walczak </w:t>
      </w:r>
      <w:hyperlink r:id="rId9" w:history="1">
        <w:r w:rsidRPr="00E92AB0">
          <w:rPr>
            <w:rStyle w:val="Hipercze"/>
            <w:sz w:val="24"/>
            <w:szCs w:val="24"/>
          </w:rPr>
          <w:t>iod@karpacz.eu</w:t>
        </w:r>
      </w:hyperlink>
      <w:r>
        <w:rPr>
          <w:sz w:val="24"/>
          <w:szCs w:val="24"/>
        </w:rPr>
        <w:t xml:space="preserve"> </w:t>
      </w:r>
      <w:r w:rsidRPr="00732B49">
        <w:rPr>
          <w:b/>
          <w:i/>
          <w:sz w:val="24"/>
          <w:szCs w:val="24"/>
          <w:vertAlign w:val="superscript"/>
        </w:rPr>
        <w:t>*</w:t>
      </w:r>
      <w:r w:rsidRPr="00732B49">
        <w:rPr>
          <w:sz w:val="24"/>
          <w:szCs w:val="24"/>
        </w:rPr>
        <w:t>;</w:t>
      </w:r>
      <w:r w:rsidR="003D0C1B">
        <w:rPr>
          <w:sz w:val="24"/>
          <w:szCs w:val="24"/>
        </w:rPr>
        <w:t xml:space="preserve"> </w:t>
      </w:r>
    </w:p>
    <w:p w:rsidR="003D0C1B" w:rsidRDefault="003D0C1B" w:rsidP="003D0C1B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3D0C1B" w:rsidRDefault="003D0C1B" w:rsidP="003D0C1B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3D0C1B" w:rsidRDefault="003D0C1B" w:rsidP="003D0C1B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CE5DB9" w:rsidRPr="00CE3B57" w:rsidRDefault="00CE5DB9" w:rsidP="00CE5D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617ED">
        <w:rPr>
          <w:sz w:val="24"/>
          <w:szCs w:val="24"/>
        </w:rPr>
        <w:t>Pani/Pana dane osobowe przetwarzane będą na podstawie art. 6 ust. 1 lit. c</w:t>
      </w:r>
      <w:r w:rsidRPr="007617ED">
        <w:rPr>
          <w:i/>
          <w:sz w:val="24"/>
          <w:szCs w:val="24"/>
        </w:rPr>
        <w:t xml:space="preserve"> </w:t>
      </w:r>
      <w:r w:rsidRPr="007617ED">
        <w:rPr>
          <w:sz w:val="24"/>
          <w:szCs w:val="24"/>
        </w:rPr>
        <w:t xml:space="preserve">RODO w celu związanym z postępowaniem o udzielenie zamówienia publicznego na </w:t>
      </w:r>
      <w:r w:rsidRPr="00CE3B57">
        <w:rPr>
          <w:sz w:val="24"/>
          <w:szCs w:val="24"/>
        </w:rPr>
        <w:t>„</w:t>
      </w:r>
      <w:r w:rsidR="003D0C1B">
        <w:rPr>
          <w:sz w:val="24"/>
          <w:szCs w:val="24"/>
        </w:rPr>
        <w:t>prowadzenie nadzoru archeologicznego na zadaniu dotyczącym rewitalizacji i budowie skwerów i parków na terenie Karpacza,</w:t>
      </w:r>
      <w:r w:rsidRPr="00CE3B57">
        <w:rPr>
          <w:i/>
          <w:sz w:val="24"/>
          <w:szCs w:val="24"/>
        </w:rPr>
        <w:t xml:space="preserve"> </w:t>
      </w:r>
      <w:r w:rsidRPr="00CE3B57">
        <w:rPr>
          <w:sz w:val="24"/>
          <w:szCs w:val="24"/>
        </w:rPr>
        <w:t xml:space="preserve">prowadzonym w trybie </w:t>
      </w:r>
      <w:r>
        <w:rPr>
          <w:sz w:val="24"/>
          <w:szCs w:val="24"/>
        </w:rPr>
        <w:t>zapytania ofertowego</w:t>
      </w:r>
      <w:r w:rsidRPr="00CE3B57">
        <w:rPr>
          <w:sz w:val="24"/>
          <w:szCs w:val="24"/>
        </w:rPr>
        <w:t>;</w:t>
      </w:r>
    </w:p>
    <w:p w:rsidR="00CE5DB9" w:rsidRPr="00732B49" w:rsidRDefault="00CE5DB9" w:rsidP="00CE5D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32B49">
        <w:rPr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732B49">
        <w:rPr>
          <w:sz w:val="24"/>
          <w:szCs w:val="24"/>
        </w:rPr>
        <w:t>Pzp</w:t>
      </w:r>
      <w:proofErr w:type="spellEnd"/>
      <w:r w:rsidRPr="00732B49">
        <w:rPr>
          <w:sz w:val="24"/>
          <w:szCs w:val="24"/>
        </w:rPr>
        <w:t>”;</w:t>
      </w:r>
    </w:p>
    <w:p w:rsidR="00CE5DB9" w:rsidRPr="00732B49" w:rsidRDefault="00CE5DB9" w:rsidP="00CE5D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32B49">
        <w:rPr>
          <w:sz w:val="24"/>
          <w:szCs w:val="24"/>
        </w:rPr>
        <w:t xml:space="preserve">Pani/Pana dane osobowe będą przechowywane, zgodnie z art. 97 ust. 1 ustawy </w:t>
      </w:r>
      <w:proofErr w:type="spellStart"/>
      <w:r w:rsidRPr="00732B49">
        <w:rPr>
          <w:sz w:val="24"/>
          <w:szCs w:val="24"/>
        </w:rPr>
        <w:t>Pzp</w:t>
      </w:r>
      <w:proofErr w:type="spellEnd"/>
      <w:r w:rsidRPr="00732B49">
        <w:rPr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:rsidR="00CE5DB9" w:rsidRPr="00732B49" w:rsidRDefault="00CE5DB9" w:rsidP="00CE5D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732B49">
        <w:rPr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32B49">
        <w:rPr>
          <w:sz w:val="24"/>
          <w:szCs w:val="24"/>
        </w:rPr>
        <w:t>Pzp</w:t>
      </w:r>
      <w:proofErr w:type="spellEnd"/>
      <w:r w:rsidRPr="00732B49">
        <w:rPr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32B49">
        <w:rPr>
          <w:sz w:val="24"/>
          <w:szCs w:val="24"/>
        </w:rPr>
        <w:t>Pzp</w:t>
      </w:r>
      <w:proofErr w:type="spellEnd"/>
      <w:r w:rsidRPr="00732B49">
        <w:rPr>
          <w:sz w:val="24"/>
          <w:szCs w:val="24"/>
        </w:rPr>
        <w:t>;</w:t>
      </w:r>
    </w:p>
    <w:p w:rsidR="00CE5DB9" w:rsidRPr="00732B49" w:rsidRDefault="00CE5DB9" w:rsidP="00CE5D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32B49">
        <w:rPr>
          <w:sz w:val="24"/>
          <w:szCs w:val="24"/>
        </w:rPr>
        <w:t>w odniesieniu do Pani/Pana danych osobowych decyzje nie będą podejmowane w sposób zautomatyzowany, stosowanie do art. 22 RODO.</w:t>
      </w:r>
    </w:p>
    <w:p w:rsidR="00CE5DB9" w:rsidRPr="00732B49" w:rsidRDefault="00CE5DB9" w:rsidP="00CE5DB9">
      <w:pPr>
        <w:pStyle w:val="Akapitzlist"/>
        <w:jc w:val="both"/>
        <w:rPr>
          <w:sz w:val="24"/>
          <w:szCs w:val="24"/>
        </w:rPr>
      </w:pPr>
    </w:p>
    <w:p w:rsidR="00CE5DB9" w:rsidRPr="00193AE8" w:rsidRDefault="00CE5DB9" w:rsidP="00CE5DB9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193AE8">
        <w:rPr>
          <w:sz w:val="24"/>
          <w:szCs w:val="24"/>
        </w:rPr>
        <w:t>Posiada Pani/Pan:</w:t>
      </w:r>
    </w:p>
    <w:p w:rsidR="00CE5DB9" w:rsidRPr="00732B49" w:rsidRDefault="00CE5DB9" w:rsidP="00CE5DB9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732B49">
        <w:rPr>
          <w:sz w:val="24"/>
          <w:szCs w:val="24"/>
        </w:rPr>
        <w:t>na podstawie art. 15 RODO prawo dostępu do danych osobowych Pani/Pana dotyczących;</w:t>
      </w:r>
    </w:p>
    <w:p w:rsidR="00CE5DB9" w:rsidRPr="00732B49" w:rsidRDefault="00CE5DB9" w:rsidP="00CE5DB9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732B49">
        <w:rPr>
          <w:sz w:val="24"/>
          <w:szCs w:val="24"/>
        </w:rPr>
        <w:t xml:space="preserve">na podstawie art. 16 RODO prawo do sprostowania Pani/Pana danych osobowych </w:t>
      </w:r>
      <w:r w:rsidRPr="00732B49">
        <w:rPr>
          <w:b/>
          <w:sz w:val="24"/>
          <w:szCs w:val="24"/>
          <w:vertAlign w:val="superscript"/>
        </w:rPr>
        <w:t>**</w:t>
      </w:r>
      <w:r w:rsidRPr="00732B49">
        <w:rPr>
          <w:sz w:val="24"/>
          <w:szCs w:val="24"/>
        </w:rPr>
        <w:t>;</w:t>
      </w:r>
    </w:p>
    <w:p w:rsidR="00CE5DB9" w:rsidRPr="00732B49" w:rsidRDefault="00CE5DB9" w:rsidP="00CE5DB9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732B49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 ***;</w:t>
      </w:r>
    </w:p>
    <w:p w:rsidR="00CE5DB9" w:rsidRPr="00732B49" w:rsidRDefault="00CE5DB9" w:rsidP="00CE5DB9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i/>
          <w:sz w:val="24"/>
          <w:szCs w:val="24"/>
        </w:rPr>
      </w:pPr>
      <w:r w:rsidRPr="00732B49">
        <w:rPr>
          <w:sz w:val="24"/>
          <w:szCs w:val="24"/>
        </w:rPr>
        <w:t xml:space="preserve">prawo do wniesienia skargi do Prezesa Urzędu Ochrony Danych Osobowych, gdy uzna Pani/Pan, że przetwarzanie danych osobowych Pani/Pana dotyczących narusza przepisy RODO. </w:t>
      </w:r>
    </w:p>
    <w:p w:rsidR="00CE5DB9" w:rsidRPr="00732B49" w:rsidRDefault="00CE5DB9" w:rsidP="00CE5DB9">
      <w:pPr>
        <w:ind w:left="142"/>
        <w:jc w:val="both"/>
        <w:rPr>
          <w:sz w:val="24"/>
          <w:szCs w:val="24"/>
        </w:rPr>
      </w:pPr>
    </w:p>
    <w:p w:rsidR="00CE5DB9" w:rsidRPr="00732B49" w:rsidRDefault="00CE5DB9" w:rsidP="00CE5DB9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contextualSpacing w:val="0"/>
        <w:jc w:val="both"/>
        <w:rPr>
          <w:i/>
          <w:sz w:val="24"/>
          <w:szCs w:val="24"/>
        </w:rPr>
      </w:pPr>
      <w:r w:rsidRPr="00732B49">
        <w:rPr>
          <w:sz w:val="24"/>
          <w:szCs w:val="24"/>
        </w:rPr>
        <w:t>Nie przysługuje Pani/Panu:</w:t>
      </w:r>
    </w:p>
    <w:p w:rsidR="00CE5DB9" w:rsidRPr="00732B49" w:rsidRDefault="00CE5DB9" w:rsidP="00CE5DB9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i/>
          <w:sz w:val="24"/>
          <w:szCs w:val="24"/>
        </w:rPr>
      </w:pPr>
      <w:r w:rsidRPr="00732B49">
        <w:rPr>
          <w:sz w:val="24"/>
          <w:szCs w:val="24"/>
        </w:rPr>
        <w:t>w związku z art. 17 ust. 3 lit. b, d lub e RODO prawo do usunięcia danych osobowych;</w:t>
      </w:r>
    </w:p>
    <w:p w:rsidR="00CE5DB9" w:rsidRPr="00732B49" w:rsidRDefault="00CE5DB9" w:rsidP="00CE5DB9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b/>
          <w:i/>
          <w:sz w:val="24"/>
          <w:szCs w:val="24"/>
        </w:rPr>
      </w:pPr>
      <w:r w:rsidRPr="00732B49">
        <w:rPr>
          <w:sz w:val="24"/>
          <w:szCs w:val="24"/>
        </w:rPr>
        <w:t>prawo do przenoszenia danych osobowych, o którym mowa w art. 20 RODO;</w:t>
      </w:r>
    </w:p>
    <w:p w:rsidR="00CE5DB9" w:rsidRPr="00732B49" w:rsidRDefault="00CE5DB9" w:rsidP="00CE5DB9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b/>
          <w:i/>
          <w:sz w:val="24"/>
          <w:szCs w:val="24"/>
        </w:rPr>
      </w:pPr>
      <w:r w:rsidRPr="00732B49">
        <w:rPr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732B49">
        <w:rPr>
          <w:sz w:val="24"/>
          <w:szCs w:val="24"/>
        </w:rPr>
        <w:t>.</w:t>
      </w:r>
      <w:r w:rsidRPr="00732B49">
        <w:rPr>
          <w:b/>
          <w:sz w:val="24"/>
          <w:szCs w:val="24"/>
        </w:rPr>
        <w:t xml:space="preserve"> </w:t>
      </w:r>
    </w:p>
    <w:p w:rsidR="00CE5DB9" w:rsidRPr="00732B49" w:rsidRDefault="00CE5DB9" w:rsidP="00CE5DB9">
      <w:pPr>
        <w:jc w:val="both"/>
        <w:rPr>
          <w:sz w:val="24"/>
          <w:szCs w:val="24"/>
        </w:rPr>
      </w:pPr>
      <w:r w:rsidRPr="00732B49">
        <w:rPr>
          <w:sz w:val="24"/>
          <w:szCs w:val="24"/>
        </w:rPr>
        <w:t>____________________</w:t>
      </w:r>
    </w:p>
    <w:p w:rsidR="00CE5DB9" w:rsidRPr="00732B49" w:rsidRDefault="00CE5DB9" w:rsidP="00CE5DB9">
      <w:pPr>
        <w:jc w:val="both"/>
        <w:rPr>
          <w:i/>
          <w:sz w:val="24"/>
          <w:szCs w:val="24"/>
        </w:rPr>
      </w:pPr>
      <w:r w:rsidRPr="00732B49">
        <w:rPr>
          <w:b/>
          <w:i/>
          <w:sz w:val="24"/>
          <w:szCs w:val="24"/>
          <w:vertAlign w:val="superscript"/>
        </w:rPr>
        <w:t>*</w:t>
      </w:r>
      <w:r w:rsidRPr="00732B49">
        <w:rPr>
          <w:b/>
          <w:i/>
          <w:sz w:val="24"/>
          <w:szCs w:val="24"/>
        </w:rPr>
        <w:t xml:space="preserve"> Wyjaśnienie:</w:t>
      </w:r>
      <w:r w:rsidRPr="00732B49">
        <w:rPr>
          <w:i/>
          <w:sz w:val="24"/>
          <w:szCs w:val="24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3D0C1B" w:rsidRDefault="00CE5DB9" w:rsidP="00CE5DB9">
      <w:pPr>
        <w:pStyle w:val="Akapitzlist"/>
        <w:ind w:left="0"/>
        <w:jc w:val="both"/>
        <w:rPr>
          <w:i/>
          <w:sz w:val="24"/>
          <w:szCs w:val="24"/>
        </w:rPr>
      </w:pPr>
      <w:r w:rsidRPr="00732B49">
        <w:rPr>
          <w:b/>
          <w:i/>
          <w:sz w:val="24"/>
          <w:szCs w:val="24"/>
          <w:vertAlign w:val="superscript"/>
        </w:rPr>
        <w:t xml:space="preserve">** </w:t>
      </w:r>
      <w:r w:rsidRPr="00732B49">
        <w:rPr>
          <w:b/>
          <w:i/>
          <w:sz w:val="24"/>
          <w:szCs w:val="24"/>
        </w:rPr>
        <w:t>Wyjaśnienie:</w:t>
      </w:r>
      <w:r w:rsidRPr="00732B49">
        <w:rPr>
          <w:i/>
          <w:sz w:val="24"/>
          <w:szCs w:val="24"/>
        </w:rPr>
        <w:t xml:space="preserve"> skorzystanie z prawa do sprostowania nie może skutkować zmianą wyniku postępowania o udzielenie zamówienia publicznego ani zmianą postanowień </w:t>
      </w:r>
      <w:r w:rsidR="003D0C1B">
        <w:rPr>
          <w:i/>
          <w:sz w:val="24"/>
          <w:szCs w:val="24"/>
        </w:rPr>
        <w:t xml:space="preserve"> </w:t>
      </w:r>
    </w:p>
    <w:p w:rsidR="003D0C1B" w:rsidRDefault="003D0C1B" w:rsidP="00CE5DB9">
      <w:pPr>
        <w:pStyle w:val="Akapitzlist"/>
        <w:ind w:left="0"/>
        <w:jc w:val="both"/>
        <w:rPr>
          <w:i/>
          <w:sz w:val="24"/>
          <w:szCs w:val="24"/>
        </w:rPr>
      </w:pPr>
    </w:p>
    <w:p w:rsidR="003D0C1B" w:rsidRDefault="003D0C1B" w:rsidP="00CE5DB9">
      <w:pPr>
        <w:pStyle w:val="Akapitzlist"/>
        <w:ind w:left="0"/>
        <w:jc w:val="both"/>
        <w:rPr>
          <w:i/>
          <w:sz w:val="24"/>
          <w:szCs w:val="24"/>
        </w:rPr>
      </w:pPr>
    </w:p>
    <w:p w:rsidR="00CE5DB9" w:rsidRPr="00732B49" w:rsidRDefault="00CE5DB9" w:rsidP="00CE5DB9">
      <w:pPr>
        <w:pStyle w:val="Akapitzlist"/>
        <w:ind w:left="0"/>
        <w:jc w:val="both"/>
        <w:rPr>
          <w:i/>
          <w:sz w:val="24"/>
          <w:szCs w:val="24"/>
        </w:rPr>
      </w:pPr>
      <w:r w:rsidRPr="00732B49">
        <w:rPr>
          <w:i/>
          <w:sz w:val="24"/>
          <w:szCs w:val="24"/>
        </w:rPr>
        <w:t xml:space="preserve">umowy w zakresie niezgodnym z ustawą </w:t>
      </w:r>
      <w:proofErr w:type="spellStart"/>
      <w:r w:rsidRPr="00732B49">
        <w:rPr>
          <w:i/>
          <w:sz w:val="24"/>
          <w:szCs w:val="24"/>
        </w:rPr>
        <w:t>Pzp</w:t>
      </w:r>
      <w:proofErr w:type="spellEnd"/>
      <w:r w:rsidRPr="00732B49">
        <w:rPr>
          <w:i/>
          <w:sz w:val="24"/>
          <w:szCs w:val="24"/>
        </w:rPr>
        <w:t xml:space="preserve"> oraz nie może naruszać integralności protokołu oraz jego załączników.</w:t>
      </w:r>
    </w:p>
    <w:p w:rsidR="00CE5DB9" w:rsidRPr="00732B49" w:rsidRDefault="00CE5DB9" w:rsidP="00CE5DB9">
      <w:pPr>
        <w:pStyle w:val="Akapitzlist"/>
        <w:ind w:left="0"/>
        <w:rPr>
          <w:i/>
          <w:sz w:val="24"/>
          <w:szCs w:val="24"/>
        </w:rPr>
      </w:pPr>
      <w:r w:rsidRPr="00732B49">
        <w:rPr>
          <w:b/>
          <w:i/>
          <w:sz w:val="24"/>
          <w:szCs w:val="24"/>
          <w:vertAlign w:val="superscript"/>
        </w:rPr>
        <w:t xml:space="preserve">*** </w:t>
      </w:r>
      <w:r w:rsidRPr="00732B49">
        <w:rPr>
          <w:b/>
          <w:i/>
          <w:sz w:val="24"/>
          <w:szCs w:val="24"/>
        </w:rPr>
        <w:t>Wyjaśnienie:</w:t>
      </w:r>
      <w:r w:rsidRPr="00732B49">
        <w:rPr>
          <w:i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E5DB9" w:rsidRPr="00732B49" w:rsidRDefault="00CE5DB9" w:rsidP="00CE5DB9">
      <w:pPr>
        <w:rPr>
          <w:sz w:val="24"/>
          <w:szCs w:val="24"/>
        </w:rPr>
      </w:pPr>
    </w:p>
    <w:p w:rsidR="00CE5DB9" w:rsidRDefault="00CE5DB9" w:rsidP="00CE5DB9">
      <w:pPr>
        <w:jc w:val="both"/>
        <w:rPr>
          <w:sz w:val="24"/>
          <w:szCs w:val="24"/>
        </w:rPr>
      </w:pPr>
    </w:p>
    <w:p w:rsidR="00CE5DB9" w:rsidRPr="00BB46C8" w:rsidRDefault="00CE5DB9" w:rsidP="00BB46C8"/>
    <w:sectPr w:rsidR="00CE5DB9" w:rsidRPr="00BB46C8" w:rsidSect="002758AA">
      <w:headerReference w:type="default" r:id="rId10"/>
      <w:footerReference w:type="default" r:id="rId11"/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15E" w:rsidRDefault="00BB46C8">
      <w:pPr>
        <w:spacing w:after="0" w:line="240" w:lineRule="auto"/>
      </w:pPr>
      <w:r>
        <w:separator/>
      </w:r>
    </w:p>
  </w:endnote>
  <w:endnote w:type="continuationSeparator" w:id="0">
    <w:p w:rsidR="00B2115E" w:rsidRDefault="00BB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furtGothic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410241"/>
      <w:docPartObj>
        <w:docPartGallery w:val="Page Numbers (Bottom of Page)"/>
        <w:docPartUnique/>
      </w:docPartObj>
    </w:sdtPr>
    <w:sdtEndPr/>
    <w:sdtContent>
      <w:p w:rsidR="0048155B" w:rsidRDefault="00336F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:rsidR="0048155B" w:rsidRDefault="001743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15E" w:rsidRDefault="00BB46C8">
      <w:pPr>
        <w:spacing w:after="0" w:line="240" w:lineRule="auto"/>
      </w:pPr>
      <w:r>
        <w:separator/>
      </w:r>
    </w:p>
  </w:footnote>
  <w:footnote w:type="continuationSeparator" w:id="0">
    <w:p w:rsidR="00B2115E" w:rsidRDefault="00BB4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55B" w:rsidRDefault="00336FA0">
    <w:pPr>
      <w:pStyle w:val="Nagwek"/>
    </w:pPr>
    <w:r>
      <w:rPr>
        <w:noProof/>
      </w:rPr>
      <w:drawing>
        <wp:anchor distT="0" distB="0" distL="114935" distR="114935" simplePos="0" relativeHeight="251659264" behindDoc="0" locked="0" layoutInCell="1" allowOverlap="1" wp14:anchorId="2DDF6D6A" wp14:editId="6F75399F">
          <wp:simplePos x="0" y="0"/>
          <wp:positionH relativeFrom="column">
            <wp:posOffset>-161925</wp:posOffset>
          </wp:positionH>
          <wp:positionV relativeFrom="paragraph">
            <wp:posOffset>-29210</wp:posOffset>
          </wp:positionV>
          <wp:extent cx="2049780" cy="996950"/>
          <wp:effectExtent l="0" t="0" r="762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996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0288" behindDoc="0" locked="0" layoutInCell="1" allowOverlap="1" wp14:anchorId="7F3078DA" wp14:editId="01993936">
          <wp:simplePos x="0" y="0"/>
          <wp:positionH relativeFrom="column">
            <wp:posOffset>4286250</wp:posOffset>
          </wp:positionH>
          <wp:positionV relativeFrom="paragraph">
            <wp:posOffset>208915</wp:posOffset>
          </wp:positionV>
          <wp:extent cx="1736090" cy="640080"/>
          <wp:effectExtent l="0" t="0" r="0" b="762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640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CFF"/>
    <w:multiLevelType w:val="hybridMultilevel"/>
    <w:tmpl w:val="6E2E7E2E"/>
    <w:lvl w:ilvl="0" w:tplc="63B485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6EE0"/>
    <w:multiLevelType w:val="hybridMultilevel"/>
    <w:tmpl w:val="2576A5A2"/>
    <w:lvl w:ilvl="0" w:tplc="CABC1EA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672B"/>
    <w:multiLevelType w:val="hybridMultilevel"/>
    <w:tmpl w:val="52FCD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03A5"/>
    <w:multiLevelType w:val="hybridMultilevel"/>
    <w:tmpl w:val="F398A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592"/>
    <w:multiLevelType w:val="multilevel"/>
    <w:tmpl w:val="6A1C0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E8714C"/>
    <w:multiLevelType w:val="hybridMultilevel"/>
    <w:tmpl w:val="65B2D030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1A21B0E">
      <w:start w:val="8"/>
      <w:numFmt w:val="decimal"/>
      <w:lvlText w:val="%2)"/>
      <w:lvlJc w:val="left"/>
      <w:pPr>
        <w:tabs>
          <w:tab w:val="num" w:pos="3060"/>
        </w:tabs>
        <w:ind w:left="30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 w15:restartNumberingAfterBreak="0">
    <w:nsid w:val="209A7EEA"/>
    <w:multiLevelType w:val="hybridMultilevel"/>
    <w:tmpl w:val="5E764A5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E439B9"/>
    <w:multiLevelType w:val="hybridMultilevel"/>
    <w:tmpl w:val="095665EE"/>
    <w:lvl w:ilvl="0" w:tplc="93AA72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D7FD4"/>
    <w:multiLevelType w:val="hybridMultilevel"/>
    <w:tmpl w:val="71C2A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8490D"/>
    <w:multiLevelType w:val="hybridMultilevel"/>
    <w:tmpl w:val="DBA86DDA"/>
    <w:lvl w:ilvl="0" w:tplc="9B5A39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B6C7FAE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B5200"/>
    <w:multiLevelType w:val="hybridMultilevel"/>
    <w:tmpl w:val="A3A212AC"/>
    <w:lvl w:ilvl="0" w:tplc="19E2579C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C88C1E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9E2579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1BADCE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AEBE61C4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933E47"/>
    <w:multiLevelType w:val="hybridMultilevel"/>
    <w:tmpl w:val="26FE62D0"/>
    <w:lvl w:ilvl="0" w:tplc="6F14E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FF2727"/>
    <w:multiLevelType w:val="hybridMultilevel"/>
    <w:tmpl w:val="6E96F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5622"/>
    <w:multiLevelType w:val="hybridMultilevel"/>
    <w:tmpl w:val="584EFC76"/>
    <w:lvl w:ilvl="0" w:tplc="CA5A5FC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3B59B7"/>
    <w:multiLevelType w:val="hybridMultilevel"/>
    <w:tmpl w:val="F2D0C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1838896E">
      <w:start w:val="1"/>
      <w:numFmt w:val="decimal"/>
      <w:lvlText w:val="%5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E2231"/>
    <w:multiLevelType w:val="hybridMultilevel"/>
    <w:tmpl w:val="06FE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B700E"/>
    <w:multiLevelType w:val="hybridMultilevel"/>
    <w:tmpl w:val="5C826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E0D4C"/>
    <w:multiLevelType w:val="hybridMultilevel"/>
    <w:tmpl w:val="85BACAEC"/>
    <w:lvl w:ilvl="0" w:tplc="36EED8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4483D"/>
    <w:multiLevelType w:val="hybridMultilevel"/>
    <w:tmpl w:val="4C3AC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1455A"/>
    <w:multiLevelType w:val="hybridMultilevel"/>
    <w:tmpl w:val="9E688388"/>
    <w:lvl w:ilvl="0" w:tplc="C88C1E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072AA"/>
    <w:multiLevelType w:val="hybridMultilevel"/>
    <w:tmpl w:val="6FE6384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1983747"/>
    <w:multiLevelType w:val="hybridMultilevel"/>
    <w:tmpl w:val="98DCB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6"/>
  </w:num>
  <w:num w:numId="5">
    <w:abstractNumId w:val="7"/>
  </w:num>
  <w:num w:numId="6">
    <w:abstractNumId w:val="17"/>
  </w:num>
  <w:num w:numId="7">
    <w:abstractNumId w:val="21"/>
  </w:num>
  <w:num w:numId="8">
    <w:abstractNumId w:val="12"/>
  </w:num>
  <w:num w:numId="9">
    <w:abstractNumId w:val="8"/>
  </w:num>
  <w:num w:numId="10">
    <w:abstractNumId w:val="1"/>
  </w:num>
  <w:num w:numId="11">
    <w:abstractNumId w:val="2"/>
  </w:num>
  <w:num w:numId="12">
    <w:abstractNumId w:val="20"/>
  </w:num>
  <w:num w:numId="13">
    <w:abstractNumId w:val="6"/>
  </w:num>
  <w:num w:numId="14">
    <w:abstractNumId w:val="14"/>
  </w:num>
  <w:num w:numId="15">
    <w:abstractNumId w:val="18"/>
  </w:num>
  <w:num w:numId="16">
    <w:abstractNumId w:val="15"/>
  </w:num>
  <w:num w:numId="17">
    <w:abstractNumId w:val="3"/>
  </w:num>
  <w:num w:numId="18">
    <w:abstractNumId w:val="13"/>
  </w:num>
  <w:num w:numId="19">
    <w:abstractNumId w:val="9"/>
  </w:num>
  <w:num w:numId="20">
    <w:abstractNumId w:val="10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A0"/>
    <w:rsid w:val="00002FA4"/>
    <w:rsid w:val="001743D3"/>
    <w:rsid w:val="001A363C"/>
    <w:rsid w:val="00336FA0"/>
    <w:rsid w:val="003D0C1B"/>
    <w:rsid w:val="003E2103"/>
    <w:rsid w:val="004A474C"/>
    <w:rsid w:val="006E10B5"/>
    <w:rsid w:val="0085663D"/>
    <w:rsid w:val="00B2115E"/>
    <w:rsid w:val="00BB46C8"/>
    <w:rsid w:val="00CE5DB9"/>
    <w:rsid w:val="00DE41A6"/>
    <w:rsid w:val="00E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300D5-7F7D-4CCA-BDC0-C99A69C1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FA0"/>
    <w:pPr>
      <w:spacing w:after="200" w:line="27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FA0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36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FA0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336FA0"/>
    <w:pPr>
      <w:ind w:left="720"/>
      <w:contextualSpacing/>
    </w:pPr>
  </w:style>
  <w:style w:type="paragraph" w:styleId="NormalnyWeb">
    <w:name w:val="Normal (Web)"/>
    <w:basedOn w:val="Normalny"/>
    <w:unhideWhenUsed/>
    <w:rsid w:val="00336FA0"/>
    <w:pPr>
      <w:spacing w:before="100" w:beforeAutospacing="1" w:after="119" w:line="240" w:lineRule="auto"/>
    </w:pPr>
    <w:rPr>
      <w:rFonts w:eastAsia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6FA0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ny"/>
    <w:rsid w:val="00336FA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/>
      <w:color w:val="000000"/>
      <w:sz w:val="19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Akapitzlist"/>
    <w:rsid w:val="00336FA0"/>
    <w:pPr>
      <w:tabs>
        <w:tab w:val="left" w:pos="5103"/>
      </w:tabs>
      <w:suppressAutoHyphens/>
      <w:spacing w:after="0" w:line="240" w:lineRule="auto"/>
      <w:ind w:left="567" w:hanging="283"/>
      <w:contextualSpacing w:val="0"/>
      <w:jc w:val="both"/>
    </w:pPr>
    <w:rPr>
      <w:rFonts w:eastAsia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6FA0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6FA0"/>
    <w:rPr>
      <w:rFonts w:ascii="Calibri" w:eastAsia="Times New Roman" w:hAnsi="Calibri" w:cs="Times New Roman"/>
      <w:sz w:val="20"/>
      <w:szCs w:val="20"/>
    </w:rPr>
  </w:style>
  <w:style w:type="character" w:styleId="Hipercze">
    <w:name w:val="Hyperlink"/>
    <w:rsid w:val="00CE5DB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E5DB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5D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basedOn w:val="Normalny"/>
    <w:rsid w:val="001A363C"/>
    <w:pPr>
      <w:suppressAutoHyphens/>
      <w:autoSpaceDE w:val="0"/>
      <w:spacing w:after="0" w:line="240" w:lineRule="auto"/>
    </w:pPr>
    <w:rPr>
      <w:rFonts w:eastAsia="Times New Roman"/>
      <w:color w:val="000000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karpacz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karpacz.pl/przetarg/8194/zp-120-38-20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karpacz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1822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Garbat</dc:creator>
  <cp:keywords/>
  <dc:description/>
  <cp:lastModifiedBy>Piotr Garbat</cp:lastModifiedBy>
  <cp:revision>2</cp:revision>
  <cp:lastPrinted>2018-09-07T08:09:00Z</cp:lastPrinted>
  <dcterms:created xsi:type="dcterms:W3CDTF">2018-09-07T08:22:00Z</dcterms:created>
  <dcterms:modified xsi:type="dcterms:W3CDTF">2018-09-07T08:22:00Z</dcterms:modified>
</cp:coreProperties>
</file>