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CB05" w14:textId="77777777" w:rsidR="00D47A9A" w:rsidRPr="00D47A9A" w:rsidRDefault="00D47A9A" w:rsidP="00D47A9A">
            <w:pPr>
              <w:widowControl w:val="0"/>
              <w:spacing w:after="0"/>
              <w:jc w:val="left"/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</w:pPr>
            <w:r w:rsidRPr="00D47A9A">
              <w:rPr>
                <w:rFonts w:ascii="Arial" w:hAnsi="Arial"/>
                <w:b/>
                <w:noProof/>
                <w:sz w:val="18"/>
                <w:szCs w:val="18"/>
              </w:rPr>
              <w:t>Dostawę materiałów jednorazowych: sterylny zestaw do porodu, sterylny zestaw do zabiegów okulistycznych, zestawy do vertebroplastyki trzinu kręgowego, jednorazowy zestaw do pozyskiwania osocza boigatopłytkowego Xerthra PRP</w:t>
            </w:r>
          </w:p>
          <w:p w14:paraId="34B4ED3E" w14:textId="5371D1B4" w:rsidR="00BE4A91" w:rsidRDefault="00BE4A91" w:rsidP="00D47A9A">
            <w:pPr>
              <w:spacing w:line="360" w:lineRule="auto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5462BE04" w:rsidR="00BE4A91" w:rsidRDefault="00024E76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D47A9A">
              <w:rPr>
                <w:rFonts w:ascii="Arial" w:hAnsi="Arial" w:cs="Arial"/>
                <w:sz w:val="20"/>
                <w:szCs w:val="20"/>
              </w:rPr>
              <w:t>35</w:t>
            </w:r>
            <w:r w:rsidR="00501871">
              <w:rPr>
                <w:rFonts w:ascii="Arial" w:hAnsi="Arial" w:cs="Arial"/>
                <w:sz w:val="20"/>
                <w:szCs w:val="20"/>
              </w:rPr>
              <w:t>/202</w:t>
            </w:r>
            <w:r w:rsidR="007649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jest zakładem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lastRenderedPageBreak/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lastRenderedPageBreak/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dokumenty potwierdzające wymagane przez instytucję zamawiającą lub podmiot zamawiający;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lastRenderedPageBreak/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zamówień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Liczba lat (okres ten został wskazany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środków naukowych 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87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2450055">
    <w:abstractNumId w:val="0"/>
  </w:num>
  <w:num w:numId="3" w16cid:durableId="39767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24E76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6496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A9A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9AEDD96F-70EB-4792-8BEE-79E86C90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2D28-396F-4A38-AADD-4FAB4E17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4510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4</cp:revision>
  <cp:lastPrinted>2019-07-19T09:40:00Z</cp:lastPrinted>
  <dcterms:created xsi:type="dcterms:W3CDTF">2022-10-13T07:13:00Z</dcterms:created>
  <dcterms:modified xsi:type="dcterms:W3CDTF">2024-04-18T10:14:00Z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