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77777777" w:rsidR="005E6FAF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………….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  <w:r w:rsidR="005E6FAF" w:rsidRPr="00C44077">
        <w:rPr>
          <w:b/>
          <w:color w:val="000000" w:themeColor="text1"/>
          <w:sz w:val="22"/>
          <w:szCs w:val="22"/>
        </w:rPr>
        <w:t xml:space="preserve"> </w:t>
      </w:r>
    </w:p>
    <w:p w14:paraId="24F0C2F1" w14:textId="3787718A" w:rsidR="0084336D" w:rsidRPr="00C44077" w:rsidRDefault="005E6FAF" w:rsidP="00ED36F4">
      <w:pPr>
        <w:jc w:val="center"/>
        <w:rPr>
          <w:b/>
          <w:color w:val="FF0000"/>
          <w:sz w:val="22"/>
          <w:szCs w:val="22"/>
        </w:rPr>
      </w:pPr>
      <w:r w:rsidRPr="00C44077">
        <w:rPr>
          <w:b/>
          <w:color w:val="FF0000"/>
          <w:sz w:val="22"/>
          <w:szCs w:val="22"/>
        </w:rPr>
        <w:t>na roboty budowlane – decyzja PINB poniżej 130</w:t>
      </w:r>
      <w:r w:rsidR="00E839C1" w:rsidRPr="00C44077">
        <w:rPr>
          <w:b/>
          <w:color w:val="FF0000"/>
          <w:sz w:val="22"/>
          <w:szCs w:val="22"/>
        </w:rPr>
        <w:t xml:space="preserve"> </w:t>
      </w:r>
      <w:r w:rsidRPr="00C44077">
        <w:rPr>
          <w:b/>
          <w:color w:val="FF0000"/>
          <w:sz w:val="22"/>
          <w:szCs w:val="22"/>
        </w:rPr>
        <w:t>tys</w:t>
      </w:r>
      <w:r w:rsidR="00E839C1" w:rsidRPr="00C44077">
        <w:rPr>
          <w:b/>
          <w:color w:val="FF0000"/>
          <w:sz w:val="22"/>
          <w:szCs w:val="22"/>
        </w:rPr>
        <w:t>.</w:t>
      </w:r>
      <w:r w:rsidRPr="00C44077">
        <w:rPr>
          <w:b/>
          <w:color w:val="FF0000"/>
          <w:sz w:val="22"/>
          <w:szCs w:val="22"/>
        </w:rPr>
        <w:t xml:space="preserve"> zł.</w:t>
      </w: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5C581FBE" w14:textId="77777777" w:rsidR="00ED36F4" w:rsidRPr="00C44077" w:rsidRDefault="00ED36F4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5E8A387" w14:textId="6644114A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2D17E6AD" w14:textId="7D313285" w:rsidR="009508BF" w:rsidRPr="00C44077" w:rsidRDefault="009508BF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>Niniejsza umowa została zawarta po przeprowadzeniu postępowania o wartości poniżej 130 000 zł, nr</w:t>
      </w:r>
      <w:r w:rsidR="00DA0BA0">
        <w:rPr>
          <w:rFonts w:ascii="Times New Roman" w:hAnsi="Times New Roman" w:cs="Times New Roman"/>
          <w:bCs/>
          <w:color w:val="000000" w:themeColor="text1"/>
          <w:kern w:val="2"/>
        </w:rPr>
        <w:t> </w:t>
      </w: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 xml:space="preserve">sprawy </w:t>
      </w:r>
      <w:r w:rsidR="004D263D" w:rsidRPr="00C44077">
        <w:rPr>
          <w:rFonts w:ascii="Times New Roman" w:hAnsi="Times New Roman" w:cs="Times New Roman"/>
          <w:b/>
          <w:color w:val="000000" w:themeColor="text1"/>
          <w:kern w:val="2"/>
        </w:rPr>
        <w:t>……………….</w:t>
      </w:r>
      <w:r w:rsidRPr="00C44077">
        <w:rPr>
          <w:rFonts w:ascii="Times New Roman" w:hAnsi="Times New Roman" w:cs="Times New Roman"/>
          <w:b/>
          <w:color w:val="000000" w:themeColor="text1"/>
          <w:kern w:val="2"/>
        </w:rPr>
        <w:t xml:space="preserve">. </w:t>
      </w:r>
    </w:p>
    <w:p w14:paraId="3D253E79" w14:textId="0F0657CA" w:rsidR="00CB0F65" w:rsidRPr="004636FD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70C0"/>
          <w:kern w:val="2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powierza</w:t>
      </w:r>
      <w:r w:rsidR="003540B8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a</w:t>
      </w:r>
      <w:r w:rsidR="00030B93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Wykonawca zobowiązuje się do</w:t>
      </w:r>
      <w:r w:rsidR="00855451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4D263D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</w:t>
      </w:r>
      <w:r w:rsidR="004636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78368393"/>
      <w:r w:rsidR="004636FD" w:rsidRPr="004636FD">
        <w:rPr>
          <w:rFonts w:ascii="Times New Roman" w:hAnsi="Times New Roman" w:cs="Times New Roman"/>
          <w:color w:val="0070C0"/>
        </w:rPr>
        <w:t>(</w:t>
      </w:r>
      <w:r w:rsidR="004636FD" w:rsidRPr="004636FD">
        <w:rPr>
          <w:rFonts w:ascii="Times New Roman" w:hAnsi="Times New Roman" w:cs="Times New Roman"/>
          <w:i/>
          <w:iCs/>
          <w:color w:val="0070C0"/>
        </w:rPr>
        <w:t>zgodnie z</w:t>
      </w:r>
      <w:r w:rsidR="001B5524">
        <w:rPr>
          <w:rFonts w:ascii="Times New Roman" w:hAnsi="Times New Roman" w:cs="Times New Roman"/>
          <w:i/>
          <w:iCs/>
          <w:color w:val="0070C0"/>
        </w:rPr>
        <w:t> </w:t>
      </w:r>
      <w:r w:rsidR="004636FD" w:rsidRPr="004636FD">
        <w:rPr>
          <w:rFonts w:ascii="Times New Roman" w:hAnsi="Times New Roman" w:cs="Times New Roman"/>
          <w:i/>
          <w:iCs/>
          <w:color w:val="0070C0"/>
        </w:rPr>
        <w:t>opisem przedmiotu zamówienia opisanego w dokumentach postepowania)</w:t>
      </w:r>
      <w:bookmarkEnd w:id="1"/>
    </w:p>
    <w:p w14:paraId="2EE7D4E7" w14:textId="7442AE4A" w:rsidR="0084336D" w:rsidRPr="00C44077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C44077" w:rsidRDefault="00C05958" w:rsidP="00ED36F4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2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2"/>
      <w:r w:rsidR="00817A1C">
        <w:rPr>
          <w:b/>
          <w:color w:val="000000" w:themeColor="text1"/>
          <w:sz w:val="22"/>
          <w:szCs w:val="22"/>
        </w:rPr>
        <w:t>;</w:t>
      </w:r>
    </w:p>
    <w:p w14:paraId="45F3650E" w14:textId="478A2162" w:rsidR="00B51528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 xml:space="preserve">akończenie robót i zgłoszenie przez Wykonawcę gotowości do odbioru nastąpi w terminie </w:t>
      </w:r>
      <w:r w:rsidR="004D263D" w:rsidRPr="00C44077">
        <w:rPr>
          <w:b/>
          <w:bCs/>
          <w:color w:val="000000" w:themeColor="text1"/>
          <w:sz w:val="22"/>
          <w:szCs w:val="22"/>
        </w:rPr>
        <w:t>………………………...</w:t>
      </w:r>
      <w:r w:rsidR="004636FD">
        <w:rPr>
          <w:b/>
          <w:bCs/>
          <w:color w:val="000000" w:themeColor="text1"/>
          <w:sz w:val="22"/>
          <w:szCs w:val="22"/>
        </w:rPr>
        <w:t xml:space="preserve"> </w:t>
      </w:r>
      <w:r w:rsidR="004636FD" w:rsidRPr="004636FD">
        <w:rPr>
          <w:i/>
          <w:iCs/>
          <w:color w:val="0070C0"/>
          <w:sz w:val="22"/>
          <w:szCs w:val="22"/>
        </w:rPr>
        <w:t>(zgodnie z terminem wskazanym w dokumentach postepowania)</w:t>
      </w:r>
    </w:p>
    <w:p w14:paraId="605A4BFD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55BA37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 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1CFEACE4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u</w:t>
      </w:r>
      <w:r w:rsidR="0084336D" w:rsidRPr="00C44077">
        <w:rPr>
          <w:color w:val="000000" w:themeColor="text1"/>
          <w:sz w:val="22"/>
          <w:szCs w:val="22"/>
        </w:rPr>
        <w:t xml:space="preserve">bezpieczenie </w:t>
      </w:r>
      <w:r w:rsidR="002F503B" w:rsidRPr="00C44077">
        <w:rPr>
          <w:color w:val="000000" w:themeColor="text1"/>
          <w:sz w:val="22"/>
          <w:szCs w:val="22"/>
        </w:rPr>
        <w:t xml:space="preserve">odpowiedzialności cywilnej </w:t>
      </w:r>
      <w:r w:rsidR="0084336D" w:rsidRPr="00C44077">
        <w:rPr>
          <w:color w:val="000000" w:themeColor="text1"/>
          <w:sz w:val="22"/>
          <w:szCs w:val="22"/>
        </w:rPr>
        <w:t>na 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5395F6B0" w14:textId="41DE49A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 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3B259514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49392EBA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AC45C9" w:rsidRPr="00C44077">
        <w:rPr>
          <w:rFonts w:ascii="Times New Roman" w:hAnsi="Times New Roman" w:cs="Times New Roman"/>
          <w:color w:val="000000" w:themeColor="text1"/>
        </w:rPr>
        <w:t>8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13E535A1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Wynagrodzenie</w:t>
      </w:r>
      <w:r w:rsidRPr="00C44077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ust. 5.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5263693C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</w:t>
      </w:r>
      <w:r w:rsidR="00DA0BA0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5BBEA68D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A7939F9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Pr="00C44077" w:rsidRDefault="00CB0F6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E82F86F" w14:textId="77777777" w:rsidR="00DA0BA0" w:rsidRDefault="0084336D" w:rsidP="00CC1BE6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Po stronie </w:t>
      </w:r>
      <w:r w:rsidR="00DA0BA0" w:rsidRPr="00DA0BA0">
        <w:rPr>
          <w:rFonts w:ascii="Times New Roman" w:hAnsi="Times New Roman" w:cs="Times New Roman"/>
          <w:color w:val="000000" w:themeColor="text1"/>
        </w:rPr>
        <w:t>Zamawiającego osobą odpowiedzialną za nadzór nad realizacją przedmiotu umowy jest ………………, tel. ………………….…. .</w:t>
      </w:r>
    </w:p>
    <w:p w14:paraId="61E5E13D" w14:textId="10644D45" w:rsidR="00DA0BA0" w:rsidRPr="00DA0BA0" w:rsidRDefault="0084336D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Wykonawca 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jest zobowiązany stosować się do wszystkich </w:t>
      </w:r>
      <w:r w:rsidR="00DA0BA0" w:rsidRPr="00120671">
        <w:rPr>
          <w:rFonts w:ascii="Times New Roman" w:hAnsi="Times New Roman" w:cs="Times New Roman"/>
          <w:color w:val="000000" w:themeColor="text1"/>
        </w:rPr>
        <w:t xml:space="preserve">poleceń i instrukcji </w:t>
      </w:r>
      <w:r w:rsidR="00120671" w:rsidRPr="00120671">
        <w:rPr>
          <w:rFonts w:ascii="Times New Roman" w:hAnsi="Times New Roman" w:cs="Times New Roman"/>
          <w:color w:val="000000" w:themeColor="text1"/>
        </w:rPr>
        <w:t xml:space="preserve">osoby, </w:t>
      </w:r>
      <w:r w:rsidR="00120671" w:rsidRPr="00120671">
        <w:rPr>
          <w:rFonts w:ascii="Times New Roman" w:hAnsi="Times New Roman" w:cs="Times New Roman"/>
          <w:color w:val="FF0000"/>
        </w:rPr>
        <w:t>o której mowa w</w:t>
      </w:r>
      <w:r w:rsidR="00373270">
        <w:rPr>
          <w:rFonts w:ascii="Times New Roman" w:hAnsi="Times New Roman" w:cs="Times New Roman"/>
          <w:color w:val="FF0000"/>
        </w:rPr>
        <w:t> </w:t>
      </w:r>
      <w:r w:rsidR="00120671" w:rsidRPr="00120671">
        <w:rPr>
          <w:rFonts w:ascii="Times New Roman" w:hAnsi="Times New Roman" w:cs="Times New Roman"/>
          <w:color w:val="FF0000"/>
        </w:rPr>
        <w:t>ust. 1</w:t>
      </w:r>
      <w:r w:rsidR="00DA0BA0" w:rsidRPr="00120671">
        <w:rPr>
          <w:rFonts w:ascii="Times New Roman" w:hAnsi="Times New Roman" w:cs="Times New Roman"/>
          <w:color w:val="000000" w:themeColor="text1"/>
        </w:rPr>
        <w:t>, dotyczących prawidłowości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 wykonania przedmiotu umowy.</w:t>
      </w:r>
    </w:p>
    <w:p w14:paraId="09A393C7" w14:textId="057FBA82" w:rsidR="0084336D" w:rsidRPr="00DA0BA0" w:rsidRDefault="00DA0BA0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</w:p>
    <w:p w14:paraId="6368F981" w14:textId="77777777" w:rsidR="0084336D" w:rsidRPr="00C44077" w:rsidRDefault="0084336D" w:rsidP="00ED36F4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6B953FBD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umowy.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44520AFF" w14:textId="70DDC685" w:rsidR="00CB0F65" w:rsidRPr="00C44077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zgodności wykonania obiektu budowlanego z projektem budowlanym i Decyzją PINB oraz przepisami;</w:t>
      </w:r>
    </w:p>
    <w:p w14:paraId="3A25E308" w14:textId="52FDE792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doprowadzeniu do należytego stanu i porządku terenu budowy, a także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-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w razie potrzeby korzystania</w:t>
      </w:r>
      <w:r w:rsidR="007320C5" w:rsidRPr="00C44077">
        <w:rPr>
          <w:rFonts w:ascii="Times New Roman" w:hAnsi="Times New Roman" w:cs="Times New Roman"/>
          <w:color w:val="000000" w:themeColor="text1"/>
        </w:rPr>
        <w:t xml:space="preserve"> - </w:t>
      </w:r>
      <w:r w:rsidRPr="00C44077">
        <w:rPr>
          <w:rFonts w:ascii="Times New Roman" w:hAnsi="Times New Roman" w:cs="Times New Roman"/>
          <w:color w:val="000000" w:themeColor="text1"/>
        </w:rPr>
        <w:t>ulicy, sąsiedniej nieruchomości, budynku lub lokalu;</w:t>
      </w:r>
    </w:p>
    <w:p w14:paraId="5A837AE7" w14:textId="1654D4D0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>o zmianach dokonanych w toku wykonywania robót, potwierdzone przez projektanta i inspektora nadzoru inwestorskiego</w:t>
      </w:r>
      <w:r w:rsidR="00E839C1" w:rsidRPr="00C44077">
        <w:rPr>
          <w:rFonts w:ascii="Times New Roman" w:hAnsi="Times New Roman" w:cs="Times New Roman"/>
          <w:color w:val="000000" w:themeColor="text1"/>
        </w:rPr>
        <w:t>;</w:t>
      </w:r>
    </w:p>
    <w:p w14:paraId="4B835A44" w14:textId="77777777" w:rsidR="00E839C1" w:rsidRPr="00C44077" w:rsidRDefault="00E839C1" w:rsidP="00ED36F4">
      <w:pPr>
        <w:numPr>
          <w:ilvl w:val="1"/>
          <w:numId w:val="14"/>
        </w:numPr>
        <w:ind w:left="811" w:hanging="454"/>
        <w:jc w:val="both"/>
        <w:rPr>
          <w:color w:val="0070C0"/>
          <w:sz w:val="22"/>
          <w:szCs w:val="22"/>
        </w:rPr>
      </w:pPr>
      <w:r w:rsidRPr="00C44077">
        <w:rPr>
          <w:color w:val="0070C0"/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C44077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color w:val="0070C0"/>
          <w:lang w:eastAsia="pl-PL"/>
        </w:rPr>
      </w:pPr>
      <w:r w:rsidRPr="00C44077">
        <w:rPr>
          <w:rFonts w:ascii="Times New Roman" w:hAnsi="Times New Roman" w:cs="Times New Roman"/>
          <w:color w:val="0070C0"/>
          <w:lang w:eastAsia="pl-PL"/>
        </w:rPr>
        <w:t xml:space="preserve">instalacji </w:t>
      </w:r>
      <w:r w:rsidRPr="00C44077">
        <w:rPr>
          <w:rFonts w:ascii="Times New Roman" w:hAnsi="Times New Roman" w:cs="Times New Roman"/>
          <w:color w:val="0070C0"/>
        </w:rPr>
        <w:t>gazowej</w:t>
      </w:r>
      <w:r w:rsidRPr="00C44077">
        <w:rPr>
          <w:rFonts w:ascii="Times New Roman" w:hAnsi="Times New Roman" w:cs="Times New Roman"/>
          <w:color w:val="0070C0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C44077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color w:val="0070C0"/>
          <w:lang w:eastAsia="pl-PL"/>
        </w:rPr>
      </w:pPr>
      <w:r w:rsidRPr="00C44077">
        <w:rPr>
          <w:rFonts w:ascii="Times New Roman" w:hAnsi="Times New Roman" w:cs="Times New Roman"/>
          <w:color w:val="0070C0"/>
          <w:lang w:eastAsia="pl-PL"/>
        </w:rPr>
        <w:t xml:space="preserve">instalacji </w:t>
      </w:r>
      <w:proofErr w:type="spellStart"/>
      <w:r w:rsidRPr="00C44077">
        <w:rPr>
          <w:rFonts w:ascii="Times New Roman" w:hAnsi="Times New Roman" w:cs="Times New Roman"/>
          <w:color w:val="0070C0"/>
          <w:lang w:eastAsia="pl-PL"/>
        </w:rPr>
        <w:t>wod</w:t>
      </w:r>
      <w:proofErr w:type="spellEnd"/>
      <w:r w:rsidRPr="00C44077">
        <w:rPr>
          <w:rFonts w:ascii="Times New Roman" w:hAnsi="Times New Roman" w:cs="Times New Roman"/>
          <w:color w:val="0070C0"/>
          <w:lang w:eastAsia="pl-PL"/>
        </w:rPr>
        <w:t>-</w:t>
      </w:r>
      <w:r w:rsidRPr="00C44077">
        <w:rPr>
          <w:rFonts w:ascii="Times New Roman" w:hAnsi="Times New Roman" w:cs="Times New Roman"/>
          <w:color w:val="0070C0"/>
        </w:rPr>
        <w:t>kan</w:t>
      </w:r>
      <w:r w:rsidRPr="00C44077">
        <w:rPr>
          <w:rFonts w:ascii="Times New Roman" w:hAnsi="Times New Roman" w:cs="Times New Roman"/>
          <w:color w:val="0070C0"/>
          <w:lang w:eastAsia="pl-PL"/>
        </w:rPr>
        <w:t>. wraz z protokółem szczelności;</w:t>
      </w:r>
    </w:p>
    <w:p w14:paraId="2D57DA3C" w14:textId="77777777" w:rsidR="00E839C1" w:rsidRPr="00C44077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color w:val="0070C0"/>
          <w:lang w:eastAsia="pl-PL"/>
        </w:rPr>
      </w:pPr>
      <w:r w:rsidRPr="00C44077">
        <w:rPr>
          <w:rFonts w:ascii="Times New Roman" w:hAnsi="Times New Roman" w:cs="Times New Roman"/>
          <w:color w:val="0070C0"/>
          <w:lang w:eastAsia="pl-PL"/>
        </w:rPr>
        <w:t>instalacji CO wraz z protokółem szczelności;</w:t>
      </w:r>
    </w:p>
    <w:p w14:paraId="1E5BEEE4" w14:textId="77777777" w:rsidR="00E839C1" w:rsidRPr="00C44077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color w:val="0070C0"/>
          <w:lang w:eastAsia="pl-PL"/>
        </w:rPr>
      </w:pPr>
      <w:r w:rsidRPr="00C44077">
        <w:rPr>
          <w:rFonts w:ascii="Times New Roman" w:hAnsi="Times New Roman" w:cs="Times New Roman"/>
          <w:color w:val="0070C0"/>
          <w:lang w:eastAsia="pl-PL"/>
        </w:rPr>
        <w:t xml:space="preserve">instalacji </w:t>
      </w:r>
      <w:r w:rsidRPr="00C44077">
        <w:rPr>
          <w:rFonts w:ascii="Times New Roman" w:hAnsi="Times New Roman" w:cs="Times New Roman"/>
          <w:color w:val="0070C0"/>
        </w:rPr>
        <w:t>elektrycznej</w:t>
      </w:r>
      <w:r w:rsidRPr="00C44077">
        <w:rPr>
          <w:rFonts w:ascii="Times New Roman" w:hAnsi="Times New Roman" w:cs="Times New Roman"/>
          <w:color w:val="0070C0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3AE021DB" w:rsidR="00E839C1" w:rsidRPr="00C44077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color w:val="0070C0"/>
          <w:lang w:eastAsia="pl-PL"/>
        </w:rPr>
      </w:pPr>
      <w:r w:rsidRPr="00C44077">
        <w:rPr>
          <w:rFonts w:ascii="Times New Roman" w:hAnsi="Times New Roman" w:cs="Times New Roman"/>
          <w:color w:val="0070C0"/>
          <w:lang w:eastAsia="pl-PL"/>
        </w:rPr>
        <w:t xml:space="preserve"> protokoły </w:t>
      </w:r>
      <w:r w:rsidRPr="00C44077">
        <w:rPr>
          <w:rFonts w:ascii="Times New Roman" w:hAnsi="Times New Roman" w:cs="Times New Roman"/>
          <w:color w:val="0070C0"/>
        </w:rPr>
        <w:t>kominiarskie</w:t>
      </w:r>
      <w:r w:rsidRPr="00C44077">
        <w:rPr>
          <w:rFonts w:ascii="Times New Roman" w:hAnsi="Times New Roman" w:cs="Times New Roman"/>
          <w:color w:val="0070C0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C44077" w:rsidRDefault="00993068" w:rsidP="00ED36F4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7AC463BF" w14:textId="1EC9C5C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color w:val="000000"/>
          <w:sz w:val="22"/>
          <w:szCs w:val="22"/>
        </w:rPr>
        <w:t xml:space="preserve">za </w:t>
      </w:r>
      <w:r w:rsidRPr="00C44077">
        <w:rPr>
          <w:sz w:val="22"/>
          <w:szCs w:val="22"/>
        </w:rPr>
        <w:t>zwłokę</w:t>
      </w:r>
      <w:r w:rsidRPr="00C44077">
        <w:rPr>
          <w:color w:val="000000"/>
          <w:sz w:val="22"/>
          <w:szCs w:val="22"/>
        </w:rPr>
        <w:t xml:space="preserve"> w usunięciu wad stwierdzonych przy odbiorze lub ujawnionych w okresie gwarancji i</w:t>
      </w:r>
      <w:r w:rsidR="00DA0BA0">
        <w:rPr>
          <w:color w:val="000000"/>
          <w:sz w:val="22"/>
          <w:szCs w:val="22"/>
        </w:rPr>
        <w:t> </w:t>
      </w:r>
      <w:r w:rsidRPr="00C44077">
        <w:rPr>
          <w:color w:val="000000"/>
          <w:sz w:val="22"/>
          <w:szCs w:val="22"/>
        </w:rPr>
        <w:t>rękojmi – w wys. 0,3% wynagrodzenia umownego netto, za</w:t>
      </w:r>
      <w:r w:rsidRPr="00C44077">
        <w:rPr>
          <w:sz w:val="22"/>
          <w:szCs w:val="22"/>
        </w:rPr>
        <w:t> każdy dzień zwłoki, liczony od upływu terminu wyznaczonego na usuniecie poszczególnych wad</w:t>
      </w:r>
      <w:r w:rsidR="00E839C1" w:rsidRPr="00C44077">
        <w:rPr>
          <w:sz w:val="22"/>
          <w:szCs w:val="22"/>
        </w:rPr>
        <w:t>;</w:t>
      </w:r>
    </w:p>
    <w:p w14:paraId="6F039EF7" w14:textId="6C193FA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 xml:space="preserve">z tytułu odstąpienia od umowy z przyczyn niezależnych od Zamawiającego – z powodu okoliczności, za które odpowiedzialność ponosi Wykonawca </w:t>
      </w:r>
      <w:r w:rsidR="00066864" w:rsidRPr="00C44077">
        <w:rPr>
          <w:sz w:val="22"/>
          <w:szCs w:val="22"/>
        </w:rPr>
        <w:t xml:space="preserve">– </w:t>
      </w:r>
      <w:r w:rsidRPr="00C44077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C44077" w:rsidRDefault="00993068" w:rsidP="00ED36F4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C44077" w:rsidRDefault="0084336D" w:rsidP="00ED36F4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C44077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0C15124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</w:t>
      </w:r>
      <w:r w:rsidR="00D91869">
        <w:rPr>
          <w:rFonts w:ascii="Times New Roman" w:hAnsi="Times New Roman" w:cs="Times New Roman"/>
          <w:color w:val="000000" w:themeColor="text1"/>
        </w:rPr>
        <w:t xml:space="preserve"> </w:t>
      </w:r>
      <w:r w:rsidR="00D91869" w:rsidRPr="00D91869">
        <w:rPr>
          <w:rFonts w:ascii="Times New Roman" w:hAnsi="Times New Roman" w:cs="Times New Roman"/>
          <w:color w:val="FF0000"/>
        </w:rPr>
        <w:t>jeszcze</w:t>
      </w:r>
      <w:r w:rsidRPr="00D91869">
        <w:rPr>
          <w:rFonts w:ascii="Times New Roman" w:hAnsi="Times New Roman" w:cs="Times New Roman"/>
          <w:color w:val="FF0000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62606CF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8DA9253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11 GWARANCJA</w:t>
      </w:r>
    </w:p>
    <w:p w14:paraId="4B09148F" w14:textId="77777777" w:rsidR="008209F9" w:rsidRPr="00A93EE7" w:rsidRDefault="008209F9" w:rsidP="008209F9">
      <w:pPr>
        <w:pStyle w:val="Tekstpodstawowy3"/>
        <w:numPr>
          <w:ilvl w:val="0"/>
          <w:numId w:val="31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A93EE7">
        <w:rPr>
          <w:i w:val="0"/>
          <w:iCs w:val="0"/>
          <w:color w:val="FF0000"/>
          <w:sz w:val="22"/>
          <w:szCs w:val="22"/>
        </w:rPr>
        <w:t>Wykonawca udziela Zamawiającemu ……… miesięcznej gwarancji na przedmiot umowy.</w:t>
      </w:r>
    </w:p>
    <w:p w14:paraId="36668EDC" w14:textId="77777777" w:rsidR="008209F9" w:rsidRDefault="008209F9" w:rsidP="008209F9">
      <w:pPr>
        <w:pStyle w:val="Tekstpodstawowy3"/>
        <w:numPr>
          <w:ilvl w:val="0"/>
          <w:numId w:val="31"/>
        </w:numPr>
        <w:spacing w:before="0"/>
        <w:rPr>
          <w:b/>
          <w:i w:val="0"/>
          <w:iCs w:val="0"/>
          <w:color w:val="000000" w:themeColor="text1"/>
          <w:sz w:val="22"/>
          <w:szCs w:val="22"/>
        </w:rPr>
      </w:pPr>
      <w:r w:rsidRPr="00A93EE7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1C1DACDD" w14:textId="24730044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ADDE586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gwarancji.</w:t>
      </w:r>
    </w:p>
    <w:p w14:paraId="77C7F5F5" w14:textId="5B876A2C" w:rsidR="0084336D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7500FAA4" w14:textId="49993C60" w:rsidR="00CE25DB" w:rsidRPr="00CE25DB" w:rsidRDefault="00CE25DB" w:rsidP="008209F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CE25DB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6C1D4E6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3F6619DB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 </w:t>
      </w:r>
      <w:r w:rsidRPr="00C44077">
        <w:rPr>
          <w:sz w:val="22"/>
          <w:szCs w:val="22"/>
        </w:rPr>
        <w:t>podmiotowych</w:t>
      </w:r>
      <w:r w:rsidRPr="00C44077">
        <w:rPr>
          <w:color w:val="000000" w:themeColor="text1"/>
          <w:sz w:val="22"/>
          <w:szCs w:val="22"/>
        </w:rPr>
        <w:t xml:space="preserve"> po stronie Wykonawcy i Zamawiającego zgodnie z obowiązującymi przepisami prawa</w:t>
      </w:r>
      <w:r w:rsidR="00E839C1" w:rsidRPr="00C44077">
        <w:rPr>
          <w:color w:val="000000" w:themeColor="text1"/>
          <w:sz w:val="22"/>
          <w:szCs w:val="22"/>
        </w:rPr>
        <w:t>;</w:t>
      </w:r>
    </w:p>
    <w:p w14:paraId="65289E55" w14:textId="124C085E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zmiany </w:t>
      </w:r>
      <w:r w:rsidRPr="00C44077">
        <w:rPr>
          <w:sz w:val="22"/>
          <w:szCs w:val="22"/>
        </w:rPr>
        <w:t>wynagrodzenia</w:t>
      </w:r>
      <w:r w:rsidRPr="00C44077">
        <w:rPr>
          <w:color w:val="000000" w:themeColor="text1"/>
          <w:sz w:val="22"/>
          <w:szCs w:val="22"/>
        </w:rPr>
        <w:t xml:space="preserve"> brutto związanej ze zmianą ustawowej stawki podatku VAT</w:t>
      </w:r>
      <w:r w:rsidR="00E839C1" w:rsidRPr="00C44077">
        <w:rPr>
          <w:color w:val="000000" w:themeColor="text1"/>
          <w:sz w:val="22"/>
          <w:szCs w:val="22"/>
        </w:rPr>
        <w:t>.</w:t>
      </w:r>
    </w:p>
    <w:p w14:paraId="0DE85200" w14:textId="77648E0D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Zamawiający, oprócz przypadków wymienionych w przepisach K</w:t>
      </w:r>
      <w:r w:rsidR="0062213F" w:rsidRPr="00C44077">
        <w:rPr>
          <w:rFonts w:ascii="Times New Roman" w:hAnsi="Times New Roman" w:cs="Times New Roman"/>
          <w:color w:val="000000" w:themeColor="text1"/>
        </w:rPr>
        <w:t>odeksu cywilnego</w:t>
      </w:r>
      <w:r w:rsidRPr="00C44077">
        <w:rPr>
          <w:rFonts w:ascii="Times New Roman" w:hAnsi="Times New Roman" w:cs="Times New Roman"/>
          <w:color w:val="000000" w:themeColor="text1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C0E4426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robót</w:t>
      </w:r>
      <w:r w:rsidRPr="00C44077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9C533FF" w14:textId="1CCC074D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niekorzystnych</w:t>
      </w:r>
      <w:r w:rsidRPr="00C44077">
        <w:rPr>
          <w:color w:val="000000" w:themeColor="text1"/>
          <w:sz w:val="22"/>
          <w:szCs w:val="22"/>
        </w:rPr>
        <w:t xml:space="preserve">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odpowiedzialność,</w:t>
      </w:r>
    </w:p>
    <w:p w14:paraId="1D68B959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działania osób </w:t>
      </w:r>
      <w:r w:rsidRPr="00C44077">
        <w:rPr>
          <w:sz w:val="22"/>
          <w:szCs w:val="22"/>
        </w:rPr>
        <w:t>trzecich</w:t>
      </w:r>
      <w:r w:rsidRPr="00C44077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269AD305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odmowy z przyczyn niezależnych od stron umowy wydania przez uprawnione organy decyzji, zezwoleń, uzgodnień;</w:t>
      </w:r>
    </w:p>
    <w:p w14:paraId="72218685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C44077">
        <w:rPr>
          <w:sz w:val="22"/>
          <w:szCs w:val="22"/>
        </w:rPr>
        <w:t>;</w:t>
      </w:r>
    </w:p>
    <w:p w14:paraId="3088C208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C44077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2118AF1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E839C1" w:rsidRPr="00C44077">
        <w:rPr>
          <w:sz w:val="22"/>
          <w:szCs w:val="22"/>
        </w:rPr>
        <w:t>;</w:t>
      </w:r>
    </w:p>
    <w:p w14:paraId="5450A7EE" w14:textId="3D9AD095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lastRenderedPageBreak/>
        <w:t>aktualizacji rozwiązań ze względu na postęp technologiczny, zmiana nie może spowodować podwyższenia cen wynikających z oferty, na podstawie której był dokonany wybór Wykonawcy</w:t>
      </w:r>
      <w:r w:rsidR="00E839C1" w:rsidRPr="00C44077">
        <w:rPr>
          <w:sz w:val="22"/>
          <w:szCs w:val="22"/>
        </w:rPr>
        <w:t>;</w:t>
      </w:r>
    </w:p>
    <w:p w14:paraId="35472D34" w14:textId="0BC72D9F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E839C1" w:rsidRPr="00C44077">
        <w:rPr>
          <w:sz w:val="22"/>
          <w:szCs w:val="22"/>
        </w:rPr>
        <w:t>.</w:t>
      </w:r>
    </w:p>
    <w:p w14:paraId="069DF245" w14:textId="78EF8746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zmiany ilości jakichkolwiek elementów prac objętych umową (dotyczy ilości obmiarowych przewidujących wynagrodzenie kosztorysowe). W takich sytuacjach dopuszcza się zmianę terminu realizacji zamówienia oraz wynagrodzenia</w:t>
      </w:r>
      <w:r w:rsidR="006F0C95" w:rsidRPr="00C44077">
        <w:rPr>
          <w:sz w:val="22"/>
          <w:szCs w:val="22"/>
        </w:rPr>
        <w:t>.</w:t>
      </w:r>
    </w:p>
    <w:p w14:paraId="60B9E27A" w14:textId="77777777" w:rsidR="00993068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C44077" w:rsidRDefault="0084336D" w:rsidP="00ED36F4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171A42" w:rsidRPr="00C44077">
        <w:rPr>
          <w:b/>
          <w:color w:val="000000" w:themeColor="text1"/>
          <w:sz w:val="22"/>
          <w:szCs w:val="22"/>
        </w:rPr>
        <w:t>3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132F6524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609FEF4" w14:textId="7886DB1C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14186E6" w14:textId="605DF602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63AF4D37" w:rsidR="00CB0F65" w:rsidRPr="00C44077" w:rsidRDefault="004D263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Pr="00C44077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Pr="00C44077" w:rsidRDefault="00CB0F65" w:rsidP="00ED36F4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1B5524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967F" w14:textId="77777777" w:rsidR="002F7A2B" w:rsidRDefault="002F7A2B" w:rsidP="00C30AC1">
      <w:r>
        <w:separator/>
      </w:r>
    </w:p>
  </w:endnote>
  <w:endnote w:type="continuationSeparator" w:id="0">
    <w:p w14:paraId="2FD163CF" w14:textId="77777777" w:rsidR="002F7A2B" w:rsidRDefault="002F7A2B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513" w14:textId="77777777" w:rsidR="002F7A2B" w:rsidRDefault="002F7A2B" w:rsidP="00C30AC1">
      <w:r>
        <w:separator/>
      </w:r>
    </w:p>
  </w:footnote>
  <w:footnote w:type="continuationSeparator" w:id="0">
    <w:p w14:paraId="24FCE3E9" w14:textId="77777777" w:rsidR="002F7A2B" w:rsidRDefault="002F7A2B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DE62BB1"/>
    <w:multiLevelType w:val="hybridMultilevel"/>
    <w:tmpl w:val="6914B1BC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7E55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5B7F"/>
    <w:multiLevelType w:val="hybridMultilevel"/>
    <w:tmpl w:val="9676C002"/>
    <w:lvl w:ilvl="0" w:tplc="90467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10"/>
  </w:num>
  <w:num w:numId="7">
    <w:abstractNumId w:val="26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29"/>
  </w:num>
  <w:num w:numId="13">
    <w:abstractNumId w:val="7"/>
  </w:num>
  <w:num w:numId="14">
    <w:abstractNumId w:val="2"/>
  </w:num>
  <w:num w:numId="15">
    <w:abstractNumId w:val="14"/>
  </w:num>
  <w:num w:numId="16">
    <w:abstractNumId w:val="28"/>
  </w:num>
  <w:num w:numId="17">
    <w:abstractNumId w:val="23"/>
  </w:num>
  <w:num w:numId="18">
    <w:abstractNumId w:val="9"/>
  </w:num>
  <w:num w:numId="19">
    <w:abstractNumId w:val="21"/>
  </w:num>
  <w:num w:numId="20">
    <w:abstractNumId w:val="18"/>
  </w:num>
  <w:num w:numId="21">
    <w:abstractNumId w:val="22"/>
  </w:num>
  <w:num w:numId="22">
    <w:abstractNumId w:val="16"/>
  </w:num>
  <w:num w:numId="23">
    <w:abstractNumId w:val="27"/>
  </w:num>
  <w:num w:numId="24">
    <w:abstractNumId w:val="11"/>
  </w:num>
  <w:num w:numId="25">
    <w:abstractNumId w:val="3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15"/>
    <w:lvlOverride w:ilvl="0">
      <w:startOverride w:val="1"/>
    </w:lvlOverride>
  </w:num>
  <w:num w:numId="3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4E3A"/>
    <w:rsid w:val="00066864"/>
    <w:rsid w:val="000741F8"/>
    <w:rsid w:val="000A242D"/>
    <w:rsid w:val="000F223D"/>
    <w:rsid w:val="000F4374"/>
    <w:rsid w:val="00120671"/>
    <w:rsid w:val="0012367B"/>
    <w:rsid w:val="00127852"/>
    <w:rsid w:val="001357B8"/>
    <w:rsid w:val="00164C06"/>
    <w:rsid w:val="00171A42"/>
    <w:rsid w:val="00196438"/>
    <w:rsid w:val="001B5524"/>
    <w:rsid w:val="001D0C31"/>
    <w:rsid w:val="001D7E74"/>
    <w:rsid w:val="001F0FFC"/>
    <w:rsid w:val="0021458A"/>
    <w:rsid w:val="00223D02"/>
    <w:rsid w:val="002624C4"/>
    <w:rsid w:val="00294B73"/>
    <w:rsid w:val="002F503B"/>
    <w:rsid w:val="002F7A2B"/>
    <w:rsid w:val="00307FD6"/>
    <w:rsid w:val="003540B8"/>
    <w:rsid w:val="00362EDF"/>
    <w:rsid w:val="00373270"/>
    <w:rsid w:val="00390543"/>
    <w:rsid w:val="003A0FEC"/>
    <w:rsid w:val="00430B45"/>
    <w:rsid w:val="00453876"/>
    <w:rsid w:val="004636FD"/>
    <w:rsid w:val="004D263D"/>
    <w:rsid w:val="0052145D"/>
    <w:rsid w:val="00571A96"/>
    <w:rsid w:val="00581B3E"/>
    <w:rsid w:val="005E6FAF"/>
    <w:rsid w:val="005F4454"/>
    <w:rsid w:val="0062213F"/>
    <w:rsid w:val="006F0C95"/>
    <w:rsid w:val="006F3FEC"/>
    <w:rsid w:val="00724988"/>
    <w:rsid w:val="007320C5"/>
    <w:rsid w:val="00744E56"/>
    <w:rsid w:val="007A3F72"/>
    <w:rsid w:val="00805179"/>
    <w:rsid w:val="00817A1C"/>
    <w:rsid w:val="008209F9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508BF"/>
    <w:rsid w:val="009759CA"/>
    <w:rsid w:val="00980B6D"/>
    <w:rsid w:val="00984FEC"/>
    <w:rsid w:val="00987CB7"/>
    <w:rsid w:val="00993068"/>
    <w:rsid w:val="009C6844"/>
    <w:rsid w:val="009C7C61"/>
    <w:rsid w:val="00A70703"/>
    <w:rsid w:val="00A93EE7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A61FE"/>
    <w:rsid w:val="00CB0F65"/>
    <w:rsid w:val="00CC20B2"/>
    <w:rsid w:val="00CE25DB"/>
    <w:rsid w:val="00D01AF0"/>
    <w:rsid w:val="00D24A02"/>
    <w:rsid w:val="00D91869"/>
    <w:rsid w:val="00DA0BA0"/>
    <w:rsid w:val="00DE088A"/>
    <w:rsid w:val="00E3320A"/>
    <w:rsid w:val="00E777DF"/>
    <w:rsid w:val="00E839C1"/>
    <w:rsid w:val="00E83C9E"/>
    <w:rsid w:val="00E9376A"/>
    <w:rsid w:val="00ED36F4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813-B60E-49F9-AF46-BD25F52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Jarosław Gąsiorek</cp:lastModifiedBy>
  <cp:revision>32</cp:revision>
  <cp:lastPrinted>2021-07-22T10:29:00Z</cp:lastPrinted>
  <dcterms:created xsi:type="dcterms:W3CDTF">2021-07-22T10:34:00Z</dcterms:created>
  <dcterms:modified xsi:type="dcterms:W3CDTF">2022-02-04T09:24:00Z</dcterms:modified>
</cp:coreProperties>
</file>