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BA72" w14:textId="50214EAD" w:rsidR="0058425E" w:rsidRDefault="00000E00">
      <w:r>
        <w:t>Dzień dobry</w:t>
      </w:r>
      <w:r>
        <w:t xml:space="preserve"> </w:t>
      </w:r>
      <w:r>
        <w:t>.Po przeczytaniu umowy nie zauważyłem przy tak dużym przetargu żadnej transzy płatności za wykonanie częściowe robót. Brak częściowych płatności zamyka udział mniejszym firm w przetargu. Większość materiałów trzeba zamawiać i płacić zaliczki w wysokości 40-50%</w:t>
      </w:r>
      <w:r>
        <w:t>.</w:t>
      </w:r>
    </w:p>
    <w:sectPr w:rsidR="0058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2B"/>
    <w:rsid w:val="00000E00"/>
    <w:rsid w:val="0058425E"/>
    <w:rsid w:val="00A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7A13"/>
  <w15:chartTrackingRefBased/>
  <w15:docId w15:val="{2456240A-3C57-48B4-8F8C-D5EE6C9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Aleksandra Wysocka</cp:lastModifiedBy>
  <cp:revision>2</cp:revision>
  <dcterms:created xsi:type="dcterms:W3CDTF">2022-05-16T13:46:00Z</dcterms:created>
  <dcterms:modified xsi:type="dcterms:W3CDTF">2022-05-16T13:46:00Z</dcterms:modified>
</cp:coreProperties>
</file>