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9D42AB8" w14:textId="77777777" w:rsidR="00F051F5" w:rsidRDefault="00F051F5" w:rsidP="00F051F5">
      <w:pPr>
        <w:ind w:right="-142"/>
        <w:rPr>
          <w:rFonts w:ascii="Calibri" w:hAnsi="Calibri"/>
          <w:b/>
          <w:iCs/>
          <w:sz w:val="22"/>
          <w:szCs w:val="22"/>
        </w:rPr>
      </w:pPr>
      <w:bookmarkStart w:id="0" w:name="_Hlk68845069"/>
    </w:p>
    <w:p w14:paraId="1931F15C" w14:textId="77777777" w:rsidR="007508BA" w:rsidRDefault="007508BA" w:rsidP="007508BA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2C050A80" w14:textId="2CF69EB7" w:rsidR="007508BA" w:rsidRDefault="007508BA" w:rsidP="007508BA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Wyjaśnienia i ZMIANA Nr 2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1B77B4FB" w14:textId="58708D31" w:rsidR="00F051F5" w:rsidRDefault="007508BA" w:rsidP="007508BA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udostępnione na 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  <w:t xml:space="preserve">zgodnie z art. 284 ust. 6 i art. 286 ust. 7 ustawy z dnia 11 września 2019r. Prawo zamówień publicznych </w:t>
      </w:r>
      <w:r>
        <w:rPr>
          <w:rFonts w:ascii="Calibri" w:hAnsi="Calibri"/>
          <w:sz w:val="22"/>
          <w:szCs w:val="22"/>
          <w:u w:val="single"/>
        </w:rPr>
        <w:br/>
        <w:t xml:space="preserve">(Dz.U. z 2019r., poz. 2019 z </w:t>
      </w:r>
      <w:proofErr w:type="spellStart"/>
      <w:r>
        <w:rPr>
          <w:rFonts w:ascii="Calibri" w:hAnsi="Calibri"/>
          <w:sz w:val="22"/>
          <w:szCs w:val="22"/>
          <w:u w:val="single"/>
        </w:rPr>
        <w:t>późn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>
        <w:rPr>
          <w:rFonts w:ascii="Calibri" w:hAnsi="Calibri"/>
          <w:sz w:val="22"/>
          <w:szCs w:val="22"/>
          <w:u w:val="single"/>
        </w:rPr>
        <w:t>Pzp</w:t>
      </w:r>
      <w:proofErr w:type="spellEnd"/>
      <w:r>
        <w:rPr>
          <w:rFonts w:ascii="Calibri" w:hAnsi="Calibri"/>
          <w:sz w:val="22"/>
          <w:szCs w:val="22"/>
          <w:u w:val="single"/>
        </w:rPr>
        <w:t>),</w:t>
      </w:r>
    </w:p>
    <w:p w14:paraId="0C33A86D" w14:textId="77777777" w:rsidR="007508BA" w:rsidRDefault="007508BA" w:rsidP="007508BA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3646C858" w14:textId="610604EE" w:rsidR="00A12C84" w:rsidRPr="003959DB" w:rsidRDefault="00A12C84" w:rsidP="003959DB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59126B">
        <w:rPr>
          <w:rFonts w:ascii="Calibri" w:hAnsi="Calibri"/>
          <w:b/>
          <w:iCs/>
          <w:sz w:val="22"/>
          <w:szCs w:val="22"/>
        </w:rPr>
        <w:t>09.</w:t>
      </w:r>
      <w:r w:rsidR="00DB1D34">
        <w:rPr>
          <w:rFonts w:ascii="Calibri" w:hAnsi="Calibri"/>
          <w:b/>
          <w:iCs/>
          <w:sz w:val="22"/>
          <w:szCs w:val="22"/>
        </w:rPr>
        <w:t>11</w:t>
      </w:r>
      <w:r w:rsidRPr="002F40D6">
        <w:rPr>
          <w:rFonts w:ascii="Calibri" w:hAnsi="Calibri"/>
          <w:b/>
          <w:iCs/>
          <w:sz w:val="22"/>
          <w:szCs w:val="22"/>
        </w:rPr>
        <w:t>.2021 r.</w:t>
      </w:r>
    </w:p>
    <w:bookmarkEnd w:id="0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3DB27722" w:rsidR="00A70BF8" w:rsidRPr="00DB1D34" w:rsidRDefault="001409FE" w:rsidP="00DB1D3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8E9">
        <w:rPr>
          <w:rFonts w:asciiTheme="minorHAnsi" w:hAnsiTheme="minorHAnsi" w:cstheme="minorHAnsi"/>
          <w:iCs/>
          <w:sz w:val="22"/>
          <w:szCs w:val="22"/>
        </w:rPr>
        <w:t>p</w:t>
      </w:r>
      <w:r w:rsidR="009E68E9" w:rsidRPr="009E68E9">
        <w:rPr>
          <w:rFonts w:asciiTheme="minorHAnsi" w:hAnsiTheme="minorHAnsi" w:cstheme="minorHAnsi"/>
          <w:iCs/>
          <w:sz w:val="22"/>
          <w:szCs w:val="22"/>
        </w:rPr>
        <w:t>n.: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DB1D34" w:rsidRPr="00DB1D34">
        <w:rPr>
          <w:rFonts w:asciiTheme="minorHAnsi" w:hAnsiTheme="minorHAnsi" w:cstheme="minorHAnsi"/>
          <w:b/>
          <w:iCs/>
          <w:sz w:val="22"/>
          <w:szCs w:val="22"/>
        </w:rPr>
        <w:t>Świadczenie usług pocztowych w obrocie krajowym i zagranicznym w zakresie przyjmowania, segregowania, przemieszczania i doręczania przesyłek pocztowych oraz zwrotu prz</w:t>
      </w:r>
      <w:r w:rsidR="00DB1D34">
        <w:rPr>
          <w:rFonts w:asciiTheme="minorHAnsi" w:hAnsiTheme="minorHAnsi" w:cstheme="minorHAnsi"/>
          <w:b/>
          <w:iCs/>
          <w:sz w:val="22"/>
          <w:szCs w:val="22"/>
        </w:rPr>
        <w:t>esyłek niedoręczonych w 2022 r.</w:t>
      </w:r>
      <w:r w:rsidR="0087323F">
        <w:rPr>
          <w:rFonts w:asciiTheme="minorHAnsi" w:hAnsiTheme="minorHAnsi" w:cstheme="minorHAnsi"/>
          <w:b/>
          <w:iCs/>
          <w:sz w:val="22"/>
          <w:szCs w:val="22"/>
        </w:rPr>
        <w:t>”, n</w:t>
      </w:r>
      <w:r w:rsidR="00DB1D34">
        <w:rPr>
          <w:rFonts w:asciiTheme="minorHAnsi" w:hAnsiTheme="minorHAnsi" w:cstheme="minorHAnsi"/>
          <w:b/>
          <w:iCs/>
          <w:sz w:val="22"/>
          <w:szCs w:val="22"/>
        </w:rPr>
        <w:t>r sprawy 03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>9/2021</w:t>
      </w:r>
    </w:p>
    <w:p w14:paraId="7AB01FAE" w14:textId="01A74490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997EEBC" w14:textId="77777777" w:rsidR="00F051F5" w:rsidRPr="005716B4" w:rsidRDefault="00F051F5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5716B4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06CDA6" w14:textId="49150136" w:rsidR="0046620E" w:rsidRPr="001C79C8" w:rsidRDefault="009618D1" w:rsidP="001C79C8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>Zgodnie z art. </w:t>
      </w:r>
      <w:r w:rsidR="00C34E8D" w:rsidRPr="005716B4">
        <w:rPr>
          <w:rFonts w:ascii="Calibri" w:hAnsi="Calibri" w:cs="Arial"/>
          <w:sz w:val="22"/>
          <w:szCs w:val="22"/>
        </w:rPr>
        <w:t>284</w:t>
      </w:r>
      <w:r w:rsidRPr="005716B4">
        <w:rPr>
          <w:rFonts w:ascii="Calibri" w:hAnsi="Calibri" w:cs="Arial"/>
          <w:sz w:val="22"/>
          <w:szCs w:val="22"/>
        </w:rPr>
        <w:t xml:space="preserve"> ust. 1 </w:t>
      </w:r>
      <w:r w:rsidR="00C34E8D" w:rsidRPr="005716B4">
        <w:rPr>
          <w:rFonts w:ascii="Calibri" w:hAnsi="Calibri" w:cs="Arial"/>
          <w:sz w:val="22"/>
          <w:szCs w:val="22"/>
        </w:rPr>
        <w:t xml:space="preserve">i 2 </w:t>
      </w:r>
      <w:proofErr w:type="spellStart"/>
      <w:r w:rsidR="00596486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6D256F">
        <w:rPr>
          <w:rFonts w:ascii="Calibri" w:hAnsi="Calibri" w:cs="Arial"/>
          <w:spacing w:val="-2"/>
          <w:sz w:val="22"/>
          <w:szCs w:val="22"/>
        </w:rPr>
        <w:t xml:space="preserve">, 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C34962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34962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C34962" w:rsidRPr="005716B4">
        <w:rPr>
          <w:rFonts w:ascii="Calibri" w:hAnsi="Calibri" w:cs="Arial"/>
          <w:bCs/>
          <w:sz w:val="22"/>
          <w:szCs w:val="22"/>
        </w:rPr>
        <w:t>zmienia</w:t>
      </w:r>
      <w:r w:rsidR="00C34962" w:rsidRPr="005716B4">
        <w:rPr>
          <w:rFonts w:ascii="Calibri" w:hAnsi="Calibri" w:cs="Arial"/>
          <w:sz w:val="22"/>
          <w:szCs w:val="22"/>
        </w:rPr>
        <w:t xml:space="preserve"> treść SWZ</w:t>
      </w:r>
      <w:r w:rsidR="00FA3D11">
        <w:rPr>
          <w:rFonts w:ascii="Calibri" w:hAnsi="Calibri" w:cs="Arial"/>
          <w:sz w:val="22"/>
          <w:szCs w:val="22"/>
        </w:rPr>
        <w:t>:</w:t>
      </w:r>
    </w:p>
    <w:p w14:paraId="4BDAC7D0" w14:textId="3C42346F" w:rsidR="00C34962" w:rsidRPr="00126E2D" w:rsidRDefault="00C34962" w:rsidP="0015408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 w:rsidR="00BE6D7D"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B547D">
        <w:rPr>
          <w:rFonts w:ascii="Calibri" w:hAnsi="Calibri"/>
          <w:b/>
          <w:color w:val="FF0000"/>
          <w:sz w:val="22"/>
          <w:szCs w:val="22"/>
        </w:rPr>
        <w:t xml:space="preserve">– zestaw 1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DB1D34">
        <w:rPr>
          <w:rFonts w:ascii="Calibri" w:hAnsi="Calibri"/>
          <w:b/>
          <w:color w:val="FF0000"/>
          <w:sz w:val="22"/>
          <w:szCs w:val="22"/>
        </w:rPr>
        <w:t>03.11</w:t>
      </w:r>
      <w:r>
        <w:rPr>
          <w:rFonts w:ascii="Calibri" w:hAnsi="Calibri"/>
          <w:b/>
          <w:color w:val="FF0000"/>
          <w:sz w:val="22"/>
          <w:szCs w:val="22"/>
        </w:rPr>
        <w:t>.202</w:t>
      </w:r>
      <w:r w:rsidR="005E3C81">
        <w:rPr>
          <w:rFonts w:ascii="Calibri" w:hAnsi="Calibri"/>
          <w:b/>
          <w:color w:val="FF0000"/>
          <w:sz w:val="22"/>
          <w:szCs w:val="22"/>
        </w:rPr>
        <w:t>1</w:t>
      </w:r>
      <w:r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6E8DC1A9" w14:textId="30A85785" w:rsidR="007F3891" w:rsidRPr="00DB1D34" w:rsidRDefault="00DB1D34" w:rsidP="00DB1D34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Wykonawca, w pkt 11 (</w:t>
      </w:r>
      <w:r w:rsidRPr="00DB1D34">
        <w:rPr>
          <w:rFonts w:asciiTheme="minorHAnsi" w:hAnsiTheme="minorHAnsi" w:cstheme="minorHAnsi"/>
          <w:sz w:val="22"/>
          <w:szCs w:val="22"/>
        </w:rPr>
        <w:t>Opis Przedmiotu Zamówienia - za</w:t>
      </w:r>
      <w:r w:rsidR="00CD1F51">
        <w:rPr>
          <w:rFonts w:asciiTheme="minorHAnsi" w:hAnsiTheme="minorHAnsi" w:cstheme="minorHAnsi"/>
          <w:sz w:val="22"/>
          <w:szCs w:val="22"/>
        </w:rPr>
        <w:t>ł. Nr 1 do SWZ), zawarł zapis: "</w:t>
      </w:r>
      <w:r w:rsidRPr="00DB1D34">
        <w:rPr>
          <w:rFonts w:asciiTheme="minorHAnsi" w:hAnsiTheme="minorHAnsi" w:cstheme="minorHAnsi"/>
          <w:sz w:val="22"/>
          <w:szCs w:val="22"/>
        </w:rPr>
        <w:t>11. Wykonawca zobowiązuje się przesyłki kierowane do sądów powszechnych, Sądu Najwyższego, sądów administracyjnych i innych organów orzekających, nadawać za pośrednictwem Operatora Wyznaczonego." W związku z tym zapisem w przypadku kiedy Wykonawca nie będzie operatorem wyznaczonym, czy Zamawiający dopuszcza sytuację, w której przesyłki rejestrowane wymagające mocy dokumentu urzędowego będą wydzielone przez Zamawiającego w oddzielny strumień celem ich nadania u operatora wyznaczonego? Czy Zamawiający może oszacować ilość przesyłek rejestrowanych wymagających mocy dokumentu urzędowego?</w:t>
      </w:r>
    </w:p>
    <w:p w14:paraId="4F4B5F23" w14:textId="77777777" w:rsidR="007F3891" w:rsidRPr="007F3891" w:rsidRDefault="007F3891" w:rsidP="007F389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98DAD8A" w14:textId="77777777" w:rsidR="007F3891" w:rsidRPr="007F3891" w:rsidRDefault="007F3891" w:rsidP="007F3891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3A07655" w14:textId="22E45920" w:rsidR="007F3891" w:rsidRDefault="00DB1D34" w:rsidP="00C04319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BE6D7D" w:rsidRPr="00BE6D7D">
        <w:rPr>
          <w:rFonts w:asciiTheme="minorHAnsi" w:hAnsiTheme="minorHAnsi" w:cstheme="minorHAnsi"/>
          <w:color w:val="0000CC"/>
          <w:sz w:val="22"/>
          <w:szCs w:val="22"/>
        </w:rPr>
        <w:t xml:space="preserve"> nie przewiduje utworzenia osobnego strumienia dla w/w przesyłek.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BE6D7D" w:rsidRPr="00BE6D7D">
        <w:rPr>
          <w:rFonts w:asciiTheme="minorHAnsi" w:hAnsiTheme="minorHAnsi" w:cstheme="minorHAnsi"/>
          <w:color w:val="0000CC"/>
          <w:sz w:val="22"/>
          <w:szCs w:val="22"/>
        </w:rPr>
        <w:t>Szacowana ilość</w:t>
      </w:r>
      <w:r w:rsidR="008E1392" w:rsidRPr="008E1392">
        <w:rPr>
          <w:rFonts w:asciiTheme="minorHAnsi" w:hAnsiTheme="minorHAnsi" w:cstheme="minorHAnsi"/>
          <w:color w:val="0000CC"/>
          <w:sz w:val="22"/>
          <w:szCs w:val="22"/>
        </w:rPr>
        <w:t xml:space="preserve"> przesyłek rejestrowanych wymagających mocy dokumentu urzędowego</w:t>
      </w:r>
      <w:r w:rsidR="00BE6D7D" w:rsidRPr="00BE6D7D">
        <w:rPr>
          <w:rFonts w:asciiTheme="minorHAnsi" w:hAnsiTheme="minorHAnsi" w:cstheme="minorHAnsi"/>
          <w:color w:val="0000CC"/>
          <w:sz w:val="22"/>
          <w:szCs w:val="22"/>
        </w:rPr>
        <w:t xml:space="preserve"> to </w:t>
      </w:r>
      <w:r w:rsidR="00BE6D7D" w:rsidRPr="00CD1F51">
        <w:rPr>
          <w:rFonts w:asciiTheme="minorHAnsi" w:hAnsiTheme="minorHAnsi" w:cstheme="minorHAnsi"/>
          <w:color w:val="0000CC"/>
          <w:sz w:val="22"/>
          <w:szCs w:val="22"/>
        </w:rPr>
        <w:t>około 2 000 szt</w:t>
      </w:r>
      <w:r w:rsidR="00CD1F51">
        <w:rPr>
          <w:rFonts w:asciiTheme="minorHAnsi" w:hAnsiTheme="minorHAnsi" w:cstheme="minorHAnsi"/>
          <w:color w:val="0000CC"/>
          <w:sz w:val="22"/>
          <w:szCs w:val="22"/>
        </w:rPr>
        <w:t>.</w:t>
      </w:r>
      <w:r w:rsidR="00CD1F51" w:rsidRPr="00CD1F51">
        <w:rPr>
          <w:rFonts w:asciiTheme="minorHAnsi" w:hAnsiTheme="minorHAnsi" w:cstheme="minorHAnsi"/>
          <w:color w:val="0000CC"/>
          <w:sz w:val="22"/>
          <w:szCs w:val="22"/>
        </w:rPr>
        <w:t>/rok</w:t>
      </w:r>
      <w:r w:rsidR="00BE6D7D" w:rsidRPr="00BE6D7D">
        <w:rPr>
          <w:rFonts w:asciiTheme="minorHAnsi" w:hAnsiTheme="minorHAnsi" w:cstheme="minorHAnsi"/>
          <w:color w:val="0000CC"/>
          <w:sz w:val="22"/>
          <w:szCs w:val="22"/>
        </w:rPr>
        <w:t xml:space="preserve"> różnego rodzaju</w:t>
      </w:r>
      <w:r w:rsidR="008E1392">
        <w:rPr>
          <w:rFonts w:asciiTheme="minorHAnsi" w:hAnsiTheme="minorHAnsi" w:cstheme="minorHAnsi"/>
          <w:color w:val="0000CC"/>
          <w:sz w:val="22"/>
          <w:szCs w:val="22"/>
        </w:rPr>
        <w:t xml:space="preserve"> przesyłek</w:t>
      </w:r>
      <w:r w:rsidR="00BE6D7D" w:rsidRPr="00BE6D7D">
        <w:rPr>
          <w:rFonts w:asciiTheme="minorHAnsi" w:hAnsiTheme="minorHAnsi" w:cstheme="minorHAnsi"/>
          <w:color w:val="0000CC"/>
          <w:sz w:val="22"/>
          <w:szCs w:val="22"/>
        </w:rPr>
        <w:t>, w tym paczek.</w:t>
      </w:r>
    </w:p>
    <w:p w14:paraId="2F6C83BF" w14:textId="3C45AB34" w:rsidR="009361BB" w:rsidRPr="009361BB" w:rsidRDefault="009361BB" w:rsidP="009361BB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 xml:space="preserve">– zestaw 2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>
        <w:rPr>
          <w:rFonts w:ascii="Calibri" w:hAnsi="Calibri"/>
          <w:b/>
          <w:color w:val="FF0000"/>
          <w:sz w:val="22"/>
          <w:szCs w:val="22"/>
        </w:rPr>
        <w:t>03.11.2021 r.</w:t>
      </w:r>
    </w:p>
    <w:p w14:paraId="24EE6075" w14:textId="25E55EA9" w:rsidR="008E1392" w:rsidRPr="00F051F5" w:rsidRDefault="00DB1D34" w:rsidP="00876D8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D34">
        <w:rPr>
          <w:rFonts w:ascii="Calibri" w:hAnsi="Calibri" w:cs="Calibri"/>
          <w:sz w:val="22"/>
          <w:szCs w:val="22"/>
        </w:rPr>
        <w:t xml:space="preserve">We wzorze Umowy § 5 ust. 3 Zamawiający określa warunki płatności dla przedmiotu zamówienia, wskazując niestosowany u Wykonawcy termin płatności faktury jako „30 dni od daty jej wystawienia”. Wykonawca informuje, iż faktury za usługi pocztowe wystawiane są </w:t>
      </w:r>
      <w:r w:rsidR="007508BA">
        <w:rPr>
          <w:rFonts w:ascii="Calibri" w:hAnsi="Calibri" w:cs="Calibri"/>
          <w:sz w:val="22"/>
          <w:szCs w:val="22"/>
        </w:rPr>
        <w:br/>
      </w:r>
      <w:r w:rsidRPr="00DB1D34">
        <w:rPr>
          <w:rFonts w:ascii="Calibri" w:hAnsi="Calibri" w:cs="Calibri"/>
          <w:sz w:val="22"/>
          <w:szCs w:val="22"/>
        </w:rPr>
        <w:t>za pośrednictwem scentralizowanego systemu informatycznego, którego wymogi określają takie kryteria jak termin wystawienia faktury, datę wysłania faktury do klienta, jak również termin płatności będący w ścisłej zależności z terminami sporządzenia faktury.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D34">
        <w:rPr>
          <w:rFonts w:ascii="Calibri" w:hAnsi="Calibri" w:cs="Calibri"/>
          <w:sz w:val="22"/>
          <w:szCs w:val="22"/>
        </w:rPr>
        <w:t xml:space="preserve">Standardowo obowiązujący termin płatności faktury określony jako 14 dni od daty wystawienia faktury został wprowadzony ze względu na zapewnienie prawidłowego funkcjonowania systemu fakturowania wykonawcy oraz zarządzania płatnościami wynikającymi z zawartych umów. Takie rozwiązanie daje możliwość oszacowania terminów wpływu środków oraz opóźnień </w:t>
      </w:r>
      <w:r w:rsidR="007C3D49">
        <w:rPr>
          <w:rFonts w:ascii="Calibri" w:hAnsi="Calibri" w:cs="Calibri"/>
          <w:sz w:val="22"/>
          <w:szCs w:val="22"/>
        </w:rPr>
        <w:br/>
      </w:r>
      <w:r w:rsidRPr="00DB1D34">
        <w:rPr>
          <w:rFonts w:ascii="Calibri" w:hAnsi="Calibri" w:cs="Calibri"/>
          <w:sz w:val="22"/>
          <w:szCs w:val="22"/>
        </w:rPr>
        <w:t xml:space="preserve">w ich płatnościach. Czy w związku z powyższym Zamawiający zaakceptuje inny niż określony przez Zamawiającego w umowie, pozwalający terminowo dokonać płatności za wykonane usługi w ramach przedmiotu zamówienia gdzie termin płatności określony byłby jako 21 dni </w:t>
      </w:r>
      <w:r w:rsidRPr="00DB1D34">
        <w:rPr>
          <w:rFonts w:ascii="Calibri" w:hAnsi="Calibri" w:cs="Calibri"/>
          <w:sz w:val="22"/>
          <w:szCs w:val="22"/>
        </w:rPr>
        <w:lastRenderedPageBreak/>
        <w:t>od daty wystawienia faktury VAT a za dzień zapłaty strony przyjęłyby dzień uznania rachunku bankowego Wykonawcy?</w:t>
      </w:r>
    </w:p>
    <w:p w14:paraId="67F722B9" w14:textId="77777777" w:rsidR="008E1392" w:rsidRPr="00C04319" w:rsidRDefault="008E1392" w:rsidP="00C0431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A51ED7" w14:textId="29FCE76A" w:rsidR="0011213A" w:rsidRPr="0011213A" w:rsidRDefault="0011213A" w:rsidP="0011213A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1213A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7FAD06F" w14:textId="5C8E8212" w:rsidR="007D2B07" w:rsidRDefault="007D2B07" w:rsidP="007D2B07">
      <w:pPr>
        <w:rPr>
          <w:rFonts w:ascii="Calibri" w:hAnsi="Calibri" w:cs="Calibri"/>
          <w:sz w:val="22"/>
          <w:szCs w:val="22"/>
        </w:rPr>
      </w:pPr>
      <w:r w:rsidRPr="007D2B07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wyraża zgodę na termin płatności określony na 21 dni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od daty wystawienia faktury VAT, </w:t>
      </w:r>
      <w:r w:rsidRPr="007D2B07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a za dzień </w:t>
      </w:r>
      <w:r w:rsidR="00ED3946">
        <w:rPr>
          <w:rFonts w:asciiTheme="minorHAnsi" w:hAnsiTheme="minorHAnsi" w:cstheme="minorHAnsi"/>
          <w:iCs/>
          <w:color w:val="0000CD"/>
          <w:sz w:val="22"/>
          <w:szCs w:val="22"/>
        </w:rPr>
        <w:t>zapłaty strony przyjmują</w:t>
      </w:r>
      <w:r w:rsidRPr="007D2B07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dzień uznania rachunku bankowego Wykonawcy.</w:t>
      </w:r>
    </w:p>
    <w:p w14:paraId="07A8A4A4" w14:textId="77777777" w:rsidR="008F24D5" w:rsidRPr="00735AA4" w:rsidRDefault="008F24D5" w:rsidP="0011213A">
      <w:pPr>
        <w:spacing w:line="280" w:lineRule="atLeast"/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095FA0A8" w14:textId="6B6D3C74" w:rsidR="00C04319" w:rsidRPr="00735AA4" w:rsidRDefault="00DB1D34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35AA4">
        <w:rPr>
          <w:rFonts w:ascii="Calibri" w:hAnsi="Calibri" w:cs="Calibri"/>
          <w:sz w:val="22"/>
          <w:szCs w:val="22"/>
        </w:rPr>
        <w:t xml:space="preserve">Wykonawca wnosi o zmniejszenie wysokości kary umownej wskazanej we wzorze umowy </w:t>
      </w:r>
      <w:r w:rsidR="007508BA">
        <w:rPr>
          <w:rFonts w:ascii="Calibri" w:hAnsi="Calibri" w:cs="Calibri"/>
          <w:sz w:val="22"/>
          <w:szCs w:val="22"/>
        </w:rPr>
        <w:br/>
      </w:r>
      <w:r w:rsidRPr="00735AA4">
        <w:rPr>
          <w:rFonts w:ascii="Calibri" w:hAnsi="Calibri" w:cs="Calibri"/>
          <w:sz w:val="22"/>
          <w:szCs w:val="22"/>
        </w:rPr>
        <w:t>w § 6 ust. 8 z 10% do 1% oraz doprecyzowanie, że w przypadku naliczenia kary, wysokość kary będzie naliczona od wartości „niezrealizowanej części umowy” a nie wartości całego kontraktu, biorąc pod uwagę, że wartość zamówienia nie jest gwarantowana a wyłącznie szacunkowa.</w:t>
      </w:r>
    </w:p>
    <w:p w14:paraId="6DE0BD78" w14:textId="77777777" w:rsidR="00DB1D34" w:rsidRPr="00735AA4" w:rsidRDefault="00DB1D34" w:rsidP="00DB1D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AF7B0E" w14:textId="11C3FE68" w:rsidR="0011213A" w:rsidRPr="00735AA4" w:rsidRDefault="008F24D5" w:rsidP="00C04319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35AA4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DCFF065" w14:textId="324AC13B" w:rsidR="007613BC" w:rsidRPr="007613BC" w:rsidRDefault="00C04319" w:rsidP="007613BC">
      <w:pPr>
        <w:suppressAutoHyphens/>
        <w:jc w:val="both"/>
        <w:rPr>
          <w:rFonts w:ascii="Calibri" w:hAnsi="Calibri" w:cs="Arial"/>
          <w:sz w:val="22"/>
          <w:szCs w:val="22"/>
          <w:lang w:eastAsia="zh-CN"/>
        </w:rPr>
      </w:pPr>
      <w:r w:rsidRPr="00735AA4"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7A402D" w:rsidRPr="00735AA4">
        <w:rPr>
          <w:rFonts w:asciiTheme="minorHAnsi" w:hAnsiTheme="minorHAnsi" w:cstheme="minorHAnsi"/>
          <w:color w:val="0000CC"/>
          <w:sz w:val="22"/>
          <w:szCs w:val="22"/>
        </w:rPr>
        <w:t>nie wyraża zgody na zmniejszenie wartości</w:t>
      </w:r>
      <w:r w:rsidR="007613BC" w:rsidRPr="00735AA4">
        <w:rPr>
          <w:rFonts w:asciiTheme="minorHAnsi" w:hAnsiTheme="minorHAnsi" w:cstheme="minorHAnsi"/>
          <w:color w:val="0000CC"/>
          <w:sz w:val="22"/>
          <w:szCs w:val="22"/>
        </w:rPr>
        <w:t xml:space="preserve"> kary umownej</w:t>
      </w:r>
      <w:r w:rsidR="007A402D" w:rsidRPr="00735AA4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68C16ADA" w14:textId="77777777" w:rsidR="0050327F" w:rsidRDefault="0050327F" w:rsidP="00DB1D34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</w:p>
    <w:p w14:paraId="5F2D0B27" w14:textId="57DCED3B" w:rsidR="0050327F" w:rsidRPr="0050327F" w:rsidRDefault="0050327F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W celu właściwego przygotowania oferty i wyceny usługi Wykonawca prosi o potwierdzenie, że „Usługa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zwrotu listu poleconego ZPO” dotyczy zwrotu listu poleconego ZPO o wadze do 500 gram i w formacie „S”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lub o wskazanie wagi i formatu listów poleconych, które mogą podlegać takim zwrotom.</w:t>
      </w:r>
    </w:p>
    <w:p w14:paraId="76DC0A46" w14:textId="77777777" w:rsidR="00DB1D34" w:rsidRDefault="00DB1D34" w:rsidP="00DB1D34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</w:p>
    <w:p w14:paraId="4556D451" w14:textId="73070D29" w:rsidR="0011213A" w:rsidRPr="00C04319" w:rsidRDefault="008F24D5" w:rsidP="00C04319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C04319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E7BC5E9" w14:textId="5497DB37" w:rsidR="007613BC" w:rsidRPr="007613BC" w:rsidRDefault="00C04319" w:rsidP="007613BC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C04319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 potwierdza iż „Usługa zwrotu listu poleconego ZPO” dotyczy zwrotu listu poleconego ZPO o wadze do 500 gram i w formacie „S”.</w:t>
      </w:r>
    </w:p>
    <w:p w14:paraId="4C9E710B" w14:textId="77777777" w:rsidR="0050327F" w:rsidRDefault="0050327F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F1433DC" w14:textId="24D03658" w:rsidR="0050327F" w:rsidRPr="005C1C4E" w:rsidRDefault="0050327F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pacing w:val="-6"/>
          <w:sz w:val="22"/>
          <w:szCs w:val="22"/>
        </w:rPr>
      </w:pPr>
      <w:r w:rsidRPr="005C1C4E">
        <w:rPr>
          <w:rFonts w:ascii="Calibri" w:hAnsi="Calibri" w:cs="Calibri"/>
          <w:spacing w:val="-6"/>
          <w:sz w:val="22"/>
          <w:szCs w:val="22"/>
        </w:rPr>
        <w:t>Wykonawca wnioskuje o dopuszczenie możliwości dołączenia do umowy zawieranej z wybranym wykonawcą załącznika (wzór Wykonawcy w załączeniu) dot. klauzuli antykorupcyjnej.</w:t>
      </w:r>
    </w:p>
    <w:p w14:paraId="75167B26" w14:textId="77777777" w:rsidR="0050327F" w:rsidRDefault="0050327F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7090D52D" w14:textId="4299D4E2" w:rsidR="008F24D5" w:rsidRDefault="008F24D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1213A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7BB88F6" w14:textId="06B049AA" w:rsidR="0019346A" w:rsidRPr="0019346A" w:rsidRDefault="0050327F" w:rsidP="00AF7C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dopuszcza możliwość dołączenia do umowy klauzuli antykorupcyjnej 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>po uprzedniej akceptacji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 jej treści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 xml:space="preserve"> przez Zamawiającego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. Zamawiający akceptuje treść klauzuli przedstawionej </w:t>
      </w:r>
      <w:r w:rsidR="007C3D49">
        <w:rPr>
          <w:rFonts w:asciiTheme="minorHAnsi" w:hAnsiTheme="minorHAnsi" w:cstheme="minorHAnsi"/>
          <w:color w:val="0000CC"/>
          <w:sz w:val="22"/>
          <w:szCs w:val="22"/>
        </w:rPr>
        <w:br/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w 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>zapytaniu Wykonawcy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 xml:space="preserve"> z 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 xml:space="preserve">dn. </w:t>
      </w:r>
      <w:r w:rsidR="007158B6">
        <w:rPr>
          <w:rFonts w:asciiTheme="minorHAnsi" w:hAnsiTheme="minorHAnsi" w:cstheme="minorHAnsi"/>
          <w:color w:val="0000CC"/>
          <w:sz w:val="22"/>
          <w:szCs w:val="22"/>
        </w:rPr>
        <w:t>03</w:t>
      </w:r>
      <w:r w:rsidR="007613BC" w:rsidRPr="007613BC">
        <w:rPr>
          <w:rFonts w:asciiTheme="minorHAnsi" w:hAnsiTheme="minorHAnsi" w:cstheme="minorHAnsi"/>
          <w:color w:val="0000CC"/>
          <w:sz w:val="22"/>
          <w:szCs w:val="22"/>
        </w:rPr>
        <w:t>.11.2021</w:t>
      </w:r>
      <w:r w:rsidR="007613BC">
        <w:rPr>
          <w:rFonts w:asciiTheme="minorHAnsi" w:hAnsiTheme="minorHAnsi" w:cstheme="minorHAnsi"/>
          <w:color w:val="0000CC"/>
          <w:sz w:val="22"/>
          <w:szCs w:val="22"/>
        </w:rPr>
        <w:t xml:space="preserve"> r.</w:t>
      </w:r>
    </w:p>
    <w:p w14:paraId="7F61FFD4" w14:textId="77777777" w:rsidR="0050327F" w:rsidRDefault="0050327F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DA0557C" w14:textId="2B74E52A" w:rsidR="0050327F" w:rsidRPr="0050327F" w:rsidRDefault="0050327F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Czy Zamawiający dopuszcza możliwość dodania do formularza ofertowego płatnej usługi odbioru przesyłek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z siedziby Zamawiającego, celem umożliwienia Wykonawcy wyceny usługi transportowej zgodnie z ogólnie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obowiązującymi przepisami, uwzględniając zakres przedmiotu umowy?</w:t>
      </w:r>
    </w:p>
    <w:p w14:paraId="05B85444" w14:textId="77777777" w:rsidR="0050327F" w:rsidRDefault="0050327F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0796962E" w14:textId="20F580C5" w:rsidR="008F24D5" w:rsidRDefault="008F24D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52A8853" w14:textId="484CD06C" w:rsidR="005728F3" w:rsidRPr="005728F3" w:rsidRDefault="005728F3" w:rsidP="00AF7C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5728F3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9361BB">
        <w:rPr>
          <w:rFonts w:asciiTheme="minorHAnsi" w:hAnsiTheme="minorHAnsi" w:cstheme="minorHAnsi"/>
          <w:color w:val="0000CC"/>
          <w:sz w:val="22"/>
          <w:szCs w:val="22"/>
        </w:rPr>
        <w:t xml:space="preserve"> nie dopuszcza</w:t>
      </w:r>
      <w:r w:rsidR="007613BC" w:rsidRPr="00AF7C57">
        <w:rPr>
          <w:rFonts w:asciiTheme="minorHAnsi" w:hAnsiTheme="minorHAnsi" w:cstheme="minorHAnsi"/>
          <w:color w:val="0000CC"/>
          <w:sz w:val="22"/>
          <w:szCs w:val="22"/>
        </w:rPr>
        <w:t xml:space="preserve"> możliwości dodania do formularza ofertowego płatnej usługi odbioru przesyłek z siedziby Zamawiającego</w:t>
      </w:r>
      <w:r w:rsidR="00AF7C57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14A0716B" w14:textId="77777777" w:rsidR="00F051F5" w:rsidRDefault="00F051F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70E9D543" w14:textId="4E81165A" w:rsidR="0050327F" w:rsidRPr="0050327F" w:rsidRDefault="0050327F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76D89">
        <w:rPr>
          <w:rFonts w:ascii="Calibri" w:hAnsi="Calibri" w:cs="Calibri"/>
          <w:sz w:val="22"/>
          <w:szCs w:val="22"/>
        </w:rPr>
        <w:t xml:space="preserve">Wykonawca zwraca się z wnioskiem o wyjaśnienie, czy w Zamawiający wymaga przedstawienia umowy o podwykonawstwo, zgodnie z § 7 pkt. 7- 8 wzoru umowy i czy ta umowa musi zawierać wprost informacje i odniesienia, że umowa o podwykonawstwo jest zawierana w celu realizacji umowy w tym postępowaniu, którą Wykonawca podpisze z Zamawiającym? Nadto Wykonawca prosi </w:t>
      </w:r>
      <w:r w:rsidRPr="0050327F">
        <w:rPr>
          <w:rFonts w:ascii="Calibri" w:hAnsi="Calibri" w:cs="Calibri"/>
          <w:sz w:val="22"/>
          <w:szCs w:val="22"/>
        </w:rPr>
        <w:t>o wyjaśnienie czy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Zamawiający jako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podwykonawstwo rozumie również „poleganie na zasobach innych podmiotów” i czy będzie wymagał od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 xml:space="preserve">Wykonawcy korzystającego z </w:t>
      </w:r>
      <w:proofErr w:type="spellStart"/>
      <w:r w:rsidRPr="0050327F">
        <w:rPr>
          <w:rFonts w:ascii="Calibri" w:hAnsi="Calibri" w:cs="Calibri"/>
          <w:sz w:val="22"/>
          <w:szCs w:val="22"/>
        </w:rPr>
        <w:t>ww</w:t>
      </w:r>
      <w:proofErr w:type="spellEnd"/>
      <w:r w:rsidRPr="0050327F">
        <w:rPr>
          <w:rFonts w:ascii="Calibri" w:hAnsi="Calibri" w:cs="Calibri"/>
          <w:sz w:val="22"/>
          <w:szCs w:val="22"/>
        </w:rPr>
        <w:t xml:space="preserve"> podwykonawstwa przedstawienia oświadczenia podpisanego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podwykonawcę stanowiącego załącznik nr 8 do SIWZ?</w:t>
      </w:r>
    </w:p>
    <w:p w14:paraId="0499362E" w14:textId="77777777" w:rsidR="0050327F" w:rsidRDefault="0050327F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1F707AA2" w14:textId="0897DEC6" w:rsidR="00CA3B5D" w:rsidRPr="00CA3B5D" w:rsidRDefault="00CA3B5D" w:rsidP="007915F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</w:t>
      </w:r>
    </w:p>
    <w:p w14:paraId="69643828" w14:textId="26746ADB" w:rsidR="00CA3B5D" w:rsidRDefault="007A402D" w:rsidP="00876D89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8457AE">
        <w:rPr>
          <w:rFonts w:asciiTheme="minorHAnsi" w:hAnsiTheme="minorHAnsi" w:cstheme="minorHAnsi"/>
          <w:color w:val="0000CC"/>
          <w:sz w:val="22"/>
          <w:szCs w:val="22"/>
        </w:rPr>
        <w:t xml:space="preserve"> odstępuje od konieczności przedkładania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8457AE">
        <w:rPr>
          <w:rFonts w:asciiTheme="minorHAnsi" w:hAnsiTheme="minorHAnsi" w:cstheme="minorHAnsi"/>
          <w:color w:val="0000CC"/>
          <w:sz w:val="22"/>
          <w:szCs w:val="22"/>
        </w:rPr>
        <w:t xml:space="preserve">do akceptacji </w:t>
      </w:r>
      <w:r>
        <w:rPr>
          <w:rFonts w:asciiTheme="minorHAnsi" w:hAnsiTheme="minorHAnsi" w:cstheme="minorHAnsi"/>
          <w:color w:val="0000CC"/>
          <w:sz w:val="22"/>
          <w:szCs w:val="22"/>
        </w:rPr>
        <w:t>umów o podwykonawstwo</w:t>
      </w:r>
      <w:r w:rsidR="00876D89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5BF9A031" w14:textId="77777777" w:rsidR="007D2B07" w:rsidRPr="00876D89" w:rsidRDefault="007D2B07" w:rsidP="00876D89">
      <w:pPr>
        <w:tabs>
          <w:tab w:val="left" w:pos="284"/>
        </w:tabs>
        <w:rPr>
          <w:rFonts w:asciiTheme="minorHAnsi" w:hAnsiTheme="minorHAnsi" w:cstheme="minorHAnsi"/>
          <w:strike/>
          <w:color w:val="0000CC"/>
          <w:sz w:val="22"/>
          <w:szCs w:val="22"/>
        </w:rPr>
      </w:pPr>
    </w:p>
    <w:p w14:paraId="0163AFD6" w14:textId="3C2C5B61" w:rsidR="00296DB9" w:rsidRDefault="005728F3" w:rsidP="00CA3B5D">
      <w:pPr>
        <w:tabs>
          <w:tab w:val="left" w:pos="284"/>
        </w:tabs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032124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CA3B5D" w:rsidRPr="00CA3B5D">
        <w:rPr>
          <w:rFonts w:asciiTheme="minorHAnsi" w:hAnsiTheme="minorHAnsi" w:cstheme="minorHAnsi"/>
          <w:color w:val="0000CC"/>
          <w:sz w:val="22"/>
          <w:szCs w:val="22"/>
        </w:rPr>
        <w:t>wyjaśnia iż podwykonawstwo</w:t>
      </w:r>
      <w:r w:rsidR="00296DB9">
        <w:rPr>
          <w:rFonts w:asciiTheme="minorHAnsi" w:hAnsiTheme="minorHAnsi" w:cstheme="minorHAnsi"/>
          <w:color w:val="0000CC"/>
          <w:sz w:val="22"/>
          <w:szCs w:val="22"/>
        </w:rPr>
        <w:t xml:space="preserve"> nie zawsze wiąże się z </w:t>
      </w:r>
      <w:r w:rsidR="00CA3B5D"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poleganiem na zasobach innych podmiotów. </w:t>
      </w:r>
      <w:r w:rsidR="00296DB9" w:rsidRPr="007D2B07">
        <w:rPr>
          <w:rFonts w:asciiTheme="minorHAnsi" w:hAnsiTheme="minorHAnsi" w:cstheme="minorHAnsi"/>
          <w:color w:val="0000CC"/>
          <w:sz w:val="22"/>
          <w:szCs w:val="22"/>
        </w:rPr>
        <w:t xml:space="preserve">W odniesieniu do warunków dotyczących </w:t>
      </w:r>
      <w:r w:rsidR="00ED3946">
        <w:rPr>
          <w:rFonts w:asciiTheme="minorHAnsi" w:hAnsiTheme="minorHAnsi" w:cstheme="minorHAnsi"/>
          <w:color w:val="0000CC"/>
          <w:sz w:val="22"/>
          <w:szCs w:val="22"/>
        </w:rPr>
        <w:t xml:space="preserve">doświadczenia, </w:t>
      </w:r>
      <w:r w:rsidR="00296DB9" w:rsidRPr="007D2B07">
        <w:rPr>
          <w:rFonts w:asciiTheme="minorHAnsi" w:hAnsiTheme="minorHAnsi" w:cstheme="minorHAnsi"/>
          <w:color w:val="0000CC"/>
          <w:sz w:val="22"/>
          <w:szCs w:val="22"/>
        </w:rPr>
        <w:t xml:space="preserve">wykonawcy mogą polegać </w:t>
      </w:r>
      <w:r w:rsidR="00952CD2">
        <w:rPr>
          <w:rFonts w:asciiTheme="minorHAnsi" w:hAnsiTheme="minorHAnsi" w:cstheme="minorHAnsi"/>
          <w:color w:val="0000CC"/>
          <w:sz w:val="22"/>
          <w:szCs w:val="22"/>
        </w:rPr>
        <w:br/>
      </w:r>
      <w:r w:rsidR="00296DB9" w:rsidRPr="007D2B07">
        <w:rPr>
          <w:rFonts w:asciiTheme="minorHAnsi" w:hAnsiTheme="minorHAnsi" w:cstheme="minorHAnsi"/>
          <w:color w:val="0000CC"/>
          <w:sz w:val="22"/>
          <w:szCs w:val="22"/>
        </w:rPr>
        <w:t>na zdolnościach podmiotów udostępniających zasoby, jeśli podmioty te wykonają usługi, do realizacji których te zdolności są wymagane.</w:t>
      </w:r>
      <w:r w:rsidR="007D2B07" w:rsidRPr="007D2B07">
        <w:rPr>
          <w:rFonts w:asciiTheme="minorHAnsi" w:hAnsiTheme="minorHAnsi" w:cstheme="minorHAnsi"/>
          <w:color w:val="0000CC"/>
          <w:sz w:val="22"/>
          <w:szCs w:val="22"/>
        </w:rPr>
        <w:t xml:space="preserve"> W tej sytuacji podwykonawstwo jest obligatoryjne.</w:t>
      </w:r>
    </w:p>
    <w:p w14:paraId="5FC41505" w14:textId="0CBA5FA6" w:rsidR="00CA3B5D" w:rsidRPr="00CA3B5D" w:rsidRDefault="00CA3B5D" w:rsidP="00CA3B5D">
      <w:pPr>
        <w:tabs>
          <w:tab w:val="left" w:pos="284"/>
        </w:tabs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CA3B5D">
        <w:rPr>
          <w:rFonts w:asciiTheme="minorHAnsi" w:hAnsiTheme="minorHAnsi" w:cstheme="minorHAnsi"/>
          <w:color w:val="0000CC"/>
          <w:sz w:val="22"/>
          <w:szCs w:val="22"/>
        </w:rPr>
        <w:lastRenderedPageBreak/>
        <w:t xml:space="preserve">W celu potwierdzenia spełnienia warunków udziału w postępowaniu, wykonawca może polegać </w:t>
      </w:r>
      <w:r w:rsidR="00952CD2">
        <w:rPr>
          <w:rFonts w:asciiTheme="minorHAnsi" w:hAnsiTheme="minorHAnsi" w:cstheme="minorHAnsi"/>
          <w:color w:val="0000CC"/>
          <w:sz w:val="22"/>
          <w:szCs w:val="22"/>
        </w:rPr>
        <w:br/>
      </w:r>
      <w:r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na potencjale podmiotu udostępniającego zasoby na zasadach opisanych w art. 118–123 </w:t>
      </w:r>
      <w:proofErr w:type="spellStart"/>
      <w:r w:rsidRPr="00CA3B5D">
        <w:rPr>
          <w:rFonts w:asciiTheme="minorHAnsi" w:hAnsiTheme="minorHAnsi" w:cstheme="minorHAnsi"/>
          <w:color w:val="0000CC"/>
          <w:sz w:val="22"/>
          <w:szCs w:val="22"/>
        </w:rPr>
        <w:t>uPzp</w:t>
      </w:r>
      <w:proofErr w:type="spellEnd"/>
      <w:r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. Podmiot, na potencjał którego wykonawca powołuje się w celu wykazania spełnienia warunków udziału w postępowaniu, nie może podlegać wykluczeniu na podstawie art. 108 ust. 1 oraz art. 109 ust. 1 pkt 4 </w:t>
      </w:r>
      <w:proofErr w:type="spellStart"/>
      <w:r w:rsidRPr="00CA3B5D">
        <w:rPr>
          <w:rFonts w:asciiTheme="minorHAnsi" w:hAnsiTheme="minorHAnsi" w:cstheme="minorHAnsi"/>
          <w:color w:val="0000CC"/>
          <w:sz w:val="22"/>
          <w:szCs w:val="22"/>
        </w:rPr>
        <w:t>uPzp</w:t>
      </w:r>
      <w:proofErr w:type="spellEnd"/>
      <w:r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. Podmiot ten przedkłada załącznik nr 8 do SWZ. Informacje dotyczące podwykonawstwa </w:t>
      </w:r>
      <w:r w:rsidR="00682631">
        <w:rPr>
          <w:rFonts w:asciiTheme="minorHAnsi" w:hAnsiTheme="minorHAnsi" w:cstheme="minorHAnsi"/>
          <w:color w:val="0000CC"/>
          <w:sz w:val="22"/>
          <w:szCs w:val="22"/>
        </w:rPr>
        <w:t>jak również</w:t>
      </w:r>
      <w:r w:rsidR="00735AA4">
        <w:rPr>
          <w:rFonts w:asciiTheme="minorHAnsi" w:hAnsiTheme="minorHAnsi" w:cstheme="minorHAnsi"/>
          <w:color w:val="0000CC"/>
          <w:sz w:val="22"/>
          <w:szCs w:val="22"/>
        </w:rPr>
        <w:t xml:space="preserve"> polegania na zasobach innych podmiotów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Wykonawca </w:t>
      </w:r>
      <w:r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umieszcza </w:t>
      </w:r>
      <w:r w:rsidR="005D4FB4">
        <w:rPr>
          <w:rFonts w:asciiTheme="minorHAnsi" w:hAnsiTheme="minorHAnsi" w:cstheme="minorHAnsi"/>
          <w:color w:val="0000CC"/>
          <w:sz w:val="22"/>
          <w:szCs w:val="22"/>
        </w:rPr>
        <w:t xml:space="preserve">natomiast </w:t>
      </w:r>
      <w:r w:rsidRPr="00CA3B5D">
        <w:rPr>
          <w:rFonts w:asciiTheme="minorHAnsi" w:hAnsiTheme="minorHAnsi" w:cstheme="minorHAnsi"/>
          <w:color w:val="0000CC"/>
          <w:sz w:val="22"/>
          <w:szCs w:val="22"/>
        </w:rPr>
        <w:t xml:space="preserve">w załączniku nr 6 </w:t>
      </w:r>
      <w:r w:rsidR="00604677">
        <w:rPr>
          <w:rFonts w:asciiTheme="minorHAnsi" w:hAnsiTheme="minorHAnsi" w:cstheme="minorHAnsi"/>
          <w:color w:val="0000CC"/>
          <w:sz w:val="22"/>
          <w:szCs w:val="22"/>
        </w:rPr>
        <w:t xml:space="preserve">do </w:t>
      </w:r>
      <w:r w:rsidRPr="00CA3B5D">
        <w:rPr>
          <w:rFonts w:asciiTheme="minorHAnsi" w:hAnsiTheme="minorHAnsi" w:cstheme="minorHAnsi"/>
          <w:color w:val="0000CC"/>
          <w:sz w:val="22"/>
          <w:szCs w:val="22"/>
        </w:rPr>
        <w:t>SWZ.</w:t>
      </w:r>
    </w:p>
    <w:p w14:paraId="1C4009C9" w14:textId="77777777" w:rsidR="00CA3B5D" w:rsidRDefault="00CA3B5D" w:rsidP="005728F3">
      <w:pPr>
        <w:tabs>
          <w:tab w:val="left" w:pos="284"/>
        </w:tabs>
        <w:rPr>
          <w:b/>
          <w:bCs/>
        </w:rPr>
      </w:pPr>
    </w:p>
    <w:p w14:paraId="0115F0BB" w14:textId="7A31416A" w:rsidR="0050327F" w:rsidRPr="0050327F" w:rsidRDefault="0050327F" w:rsidP="009361B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3594A">
        <w:rPr>
          <w:rFonts w:ascii="Calibri" w:hAnsi="Calibri" w:cs="Calibri"/>
          <w:spacing w:val="-4"/>
          <w:sz w:val="22"/>
          <w:szCs w:val="22"/>
        </w:rPr>
        <w:t xml:space="preserve">Zamawiający określił przedmiot zamówienia jako: świadczenie przez operatora pocztowego zwanego dalej Wykonawcą na rzecz Zarządu Dróg Miejskich Komunikacji Publicznej </w:t>
      </w:r>
      <w:r w:rsidR="007508BA" w:rsidRPr="0063594A">
        <w:rPr>
          <w:rFonts w:ascii="Calibri" w:hAnsi="Calibri" w:cs="Calibri"/>
          <w:spacing w:val="-4"/>
          <w:sz w:val="22"/>
          <w:szCs w:val="22"/>
        </w:rPr>
        <w:br/>
        <w:t xml:space="preserve">w </w:t>
      </w:r>
      <w:r w:rsidRPr="0063594A">
        <w:rPr>
          <w:rFonts w:ascii="Calibri" w:hAnsi="Calibri" w:cs="Calibri"/>
          <w:spacing w:val="-4"/>
          <w:sz w:val="22"/>
          <w:szCs w:val="22"/>
        </w:rPr>
        <w:t>Bydgoszczy zwanego dalej Zamawiającym usług pocztowych, polegających na przyjmowaniu, segregowaniu, przemieszczaniu</w:t>
      </w:r>
      <w:r w:rsidR="00032124" w:rsidRPr="0063594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3594A">
        <w:rPr>
          <w:rFonts w:ascii="Calibri" w:hAnsi="Calibri" w:cs="Calibri"/>
          <w:spacing w:val="-4"/>
          <w:sz w:val="22"/>
          <w:szCs w:val="22"/>
        </w:rPr>
        <w:t xml:space="preserve">i doręczaniu w obrocie krajowym i zagranicznym przesyłek pocztowych w 2022 roku oraz zwrotu przesyłek niedoręczonych. Świadczenie usług pocztowych </w:t>
      </w:r>
      <w:r w:rsidR="0063594A">
        <w:rPr>
          <w:rFonts w:ascii="Calibri" w:hAnsi="Calibri" w:cs="Calibri"/>
          <w:spacing w:val="-4"/>
          <w:sz w:val="22"/>
          <w:szCs w:val="22"/>
        </w:rPr>
        <w:br/>
      </w:r>
      <w:r w:rsidRPr="0063594A">
        <w:rPr>
          <w:rFonts w:ascii="Calibri" w:hAnsi="Calibri" w:cs="Calibri"/>
          <w:spacing w:val="-4"/>
          <w:sz w:val="22"/>
          <w:szCs w:val="22"/>
        </w:rPr>
        <w:t xml:space="preserve">w obrocie krajowym i zagranicznym. W Załączniku nr 1 do SWZ Opis przedmiotu zamówienia Zamawiający wskazał, że Usługi będące przedmiotem zamówienia będą świadczone zgodnie </w:t>
      </w:r>
      <w:r w:rsidR="0063594A">
        <w:rPr>
          <w:rFonts w:ascii="Calibri" w:hAnsi="Calibri" w:cs="Calibri"/>
          <w:spacing w:val="-4"/>
          <w:sz w:val="22"/>
          <w:szCs w:val="22"/>
        </w:rPr>
        <w:br/>
      </w:r>
      <w:r w:rsidRPr="0063594A">
        <w:rPr>
          <w:rFonts w:ascii="Calibri" w:hAnsi="Calibri" w:cs="Calibri"/>
          <w:spacing w:val="-4"/>
          <w:sz w:val="22"/>
          <w:szCs w:val="22"/>
        </w:rPr>
        <w:t>z przepisami powszechnie obowiązującego prawa, w szczególności</w:t>
      </w:r>
      <w:r w:rsidRPr="0050327F">
        <w:rPr>
          <w:rFonts w:ascii="Calibri" w:hAnsi="Calibri" w:cs="Calibri"/>
          <w:sz w:val="22"/>
          <w:szCs w:val="22"/>
        </w:rPr>
        <w:t>:</w:t>
      </w:r>
    </w:p>
    <w:p w14:paraId="405A8488" w14:textId="6B4AF5A0" w:rsidR="0050327F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ustawy z dnia 23 listopada 2012 r. Prawo Pocztowe (Dz. U. z 2020 r., poz. 1041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.) zwanej dalej Ustawą, </w:t>
      </w:r>
      <w:r w:rsidRPr="0050327F">
        <w:rPr>
          <w:rFonts w:ascii="Calibri" w:hAnsi="Calibri" w:cs="Calibri"/>
          <w:sz w:val="22"/>
          <w:szCs w:val="22"/>
        </w:rPr>
        <w:t>czyli także zgodnie z przepisami wykonawczymi do Ustawy.</w:t>
      </w:r>
    </w:p>
    <w:p w14:paraId="3D955CDC" w14:textId="77777777" w:rsidR="0050327F" w:rsidRDefault="0050327F" w:rsidP="00F1616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29A3561" w14:textId="4CBEB617" w:rsidR="0050327F" w:rsidRPr="007934F2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z w:val="22"/>
          <w:szCs w:val="22"/>
        </w:rPr>
      </w:pPr>
      <w:r w:rsidRPr="007934F2">
        <w:rPr>
          <w:rFonts w:ascii="Calibri" w:hAnsi="Calibri" w:cs="Calibri"/>
          <w:sz w:val="22"/>
          <w:szCs w:val="22"/>
        </w:rPr>
        <w:t xml:space="preserve">W związku z powyższym wykonawca zwraca się o wyjaśnienie, </w:t>
      </w:r>
      <w:r w:rsidRPr="007934F2">
        <w:rPr>
          <w:rFonts w:ascii="Calibri" w:hAnsi="Calibri" w:cs="Calibri"/>
          <w:b/>
          <w:bCs/>
          <w:sz w:val="22"/>
          <w:szCs w:val="22"/>
        </w:rPr>
        <w:t xml:space="preserve">czy poprzez usługę </w:t>
      </w:r>
      <w:r w:rsidRPr="007934F2">
        <w:rPr>
          <w:rFonts w:ascii="Calibri" w:hAnsi="Calibri" w:cs="Calibri"/>
          <w:b/>
          <w:bCs/>
          <w:spacing w:val="-4"/>
          <w:sz w:val="22"/>
          <w:szCs w:val="22"/>
        </w:rPr>
        <w:t xml:space="preserve">pocztową Zamawiający rozumie usługę pocztową określoną w art. 2 ust. 1 pkt 1 Ustawy, zdefiniowaną ustawowo w następujący sposób: </w:t>
      </w:r>
      <w:r w:rsidRPr="007934F2">
        <w:rPr>
          <w:rFonts w:ascii="Calibri" w:hAnsi="Calibri" w:cs="Calibri"/>
          <w:b/>
          <w:bCs/>
          <w:iCs/>
          <w:spacing w:val="-4"/>
          <w:sz w:val="22"/>
          <w:szCs w:val="22"/>
        </w:rPr>
        <w:t>Usługę pocztową stanowi, wykonywane w obrocie krajowym lub zagranicznym, zarobkowe: realizowane łącznie lub rozdzielnie przyjmowanie, sortowanie, doręczanie przesyłek pocztowych</w:t>
      </w:r>
      <w:r w:rsidRPr="007934F2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934F2">
        <w:rPr>
          <w:rFonts w:ascii="Calibri" w:hAnsi="Calibri" w:cs="Calibri"/>
          <w:b/>
          <w:bCs/>
          <w:iCs/>
          <w:spacing w:val="-4"/>
          <w:sz w:val="22"/>
          <w:szCs w:val="22"/>
        </w:rPr>
        <w:t>oraz druków bezadresowych</w:t>
      </w:r>
      <w:r w:rsidRPr="007934F2">
        <w:rPr>
          <w:rFonts w:ascii="Calibri" w:hAnsi="Calibri" w:cs="Calibri"/>
          <w:b/>
          <w:bCs/>
          <w:spacing w:val="-4"/>
          <w:sz w:val="22"/>
          <w:szCs w:val="22"/>
        </w:rPr>
        <w:t>?</w:t>
      </w:r>
    </w:p>
    <w:p w14:paraId="61284C0C" w14:textId="0EC6B298" w:rsidR="0050327F" w:rsidRPr="00876D89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7934F2">
        <w:rPr>
          <w:rFonts w:ascii="Calibri" w:hAnsi="Calibri" w:cs="Calibri"/>
          <w:sz w:val="22"/>
          <w:szCs w:val="22"/>
        </w:rPr>
        <w:t xml:space="preserve">Jeżeli, jak wskazał Zamawiający, przedmiotem zamówienia są usługi pocztowe, polegające na </w:t>
      </w:r>
      <w:r w:rsidRPr="00876D89">
        <w:rPr>
          <w:rFonts w:ascii="Calibri" w:hAnsi="Calibri" w:cs="Calibri"/>
          <w:sz w:val="22"/>
          <w:szCs w:val="22"/>
        </w:rPr>
        <w:t>przyjmowaniu, segregowaniu, przemieszczaniu i doręczaniu w obrocie krajowym</w:t>
      </w:r>
      <w:r w:rsidR="007508BA">
        <w:rPr>
          <w:rFonts w:ascii="Calibri" w:hAnsi="Calibri" w:cs="Calibri"/>
          <w:sz w:val="22"/>
          <w:szCs w:val="22"/>
        </w:rPr>
        <w:br/>
      </w:r>
      <w:r w:rsidRPr="00876D89">
        <w:rPr>
          <w:rFonts w:ascii="Calibri" w:hAnsi="Calibri" w:cs="Calibri"/>
          <w:sz w:val="22"/>
          <w:szCs w:val="22"/>
        </w:rPr>
        <w:t xml:space="preserve"> i zagranicznym przesyłek pocztowych w 2022 roku oraz zwrotu przesyłek niedoręczonych określone w Ustawie, a ich świadczenie powinno być realizowane na podstawie przepisów Ustawy, </w:t>
      </w:r>
      <w:r w:rsidRPr="00876D89">
        <w:rPr>
          <w:rFonts w:ascii="Calibri" w:hAnsi="Calibri" w:cs="Calibri"/>
          <w:b/>
          <w:bCs/>
          <w:sz w:val="22"/>
          <w:szCs w:val="22"/>
        </w:rPr>
        <w:t>czy Zamawiający potwierdza, że podstawą prawną, zgodnie z art. 14 Ustawy,</w:t>
      </w:r>
    </w:p>
    <w:p w14:paraId="61FA408C" w14:textId="77777777" w:rsidR="0050327F" w:rsidRPr="00876D89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z w:val="22"/>
          <w:szCs w:val="22"/>
        </w:rPr>
      </w:pPr>
      <w:r w:rsidRPr="00876D89">
        <w:rPr>
          <w:rFonts w:ascii="Calibri" w:hAnsi="Calibri" w:cs="Calibri"/>
          <w:b/>
          <w:bCs/>
          <w:sz w:val="22"/>
          <w:szCs w:val="22"/>
        </w:rPr>
        <w:t>świadczenia usług pocztowych są:</w:t>
      </w:r>
    </w:p>
    <w:p w14:paraId="588B330B" w14:textId="77777777" w:rsidR="0050327F" w:rsidRPr="00876D89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pacing w:val="-12"/>
          <w:sz w:val="22"/>
          <w:szCs w:val="22"/>
        </w:rPr>
      </w:pPr>
      <w:r w:rsidRPr="00876D89">
        <w:rPr>
          <w:rFonts w:ascii="Calibri" w:hAnsi="Calibri" w:cs="Calibri"/>
          <w:b/>
          <w:bCs/>
          <w:spacing w:val="-12"/>
          <w:sz w:val="22"/>
          <w:szCs w:val="22"/>
        </w:rPr>
        <w:t>1) umowy o świadczenie usług pocztowych zawierane między nadawcami a operatorami pocztowymi,</w:t>
      </w:r>
    </w:p>
    <w:p w14:paraId="6F321452" w14:textId="77777777" w:rsidR="0050327F" w:rsidRPr="00876D89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z w:val="22"/>
          <w:szCs w:val="22"/>
        </w:rPr>
      </w:pPr>
      <w:r w:rsidRPr="00876D89">
        <w:rPr>
          <w:rFonts w:ascii="Calibri" w:hAnsi="Calibri" w:cs="Calibri"/>
          <w:b/>
          <w:bCs/>
          <w:sz w:val="22"/>
          <w:szCs w:val="22"/>
        </w:rPr>
        <w:t>2) umowy o współpracę zawierane między operatorami pocztowymi?</w:t>
      </w:r>
    </w:p>
    <w:p w14:paraId="5EEA5FBF" w14:textId="77777777" w:rsidR="00F16165" w:rsidRPr="00876D89" w:rsidRDefault="00F16165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2988" w14:textId="77BE3ADF" w:rsidR="0050327F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876D89">
        <w:rPr>
          <w:rFonts w:ascii="Calibri" w:hAnsi="Calibri" w:cs="Calibri"/>
          <w:sz w:val="22"/>
          <w:szCs w:val="22"/>
        </w:rPr>
        <w:t xml:space="preserve">Wykonawca wskazuje, że zgodnie z ustawową definicją zawartą w art. 3 pkt. 10) Ustawy, </w:t>
      </w:r>
      <w:r w:rsidRPr="00876D89">
        <w:rPr>
          <w:rFonts w:ascii="Calibri" w:hAnsi="Calibri" w:cs="Calibri"/>
          <w:b/>
          <w:bCs/>
          <w:sz w:val="22"/>
          <w:szCs w:val="22"/>
        </w:rPr>
        <w:t xml:space="preserve">nadawcą </w:t>
      </w:r>
      <w:r w:rsidRPr="00876D89">
        <w:rPr>
          <w:rFonts w:ascii="Calibri" w:hAnsi="Calibri" w:cs="Calibri"/>
          <w:sz w:val="22"/>
          <w:szCs w:val="22"/>
        </w:rPr>
        <w:t xml:space="preserve">jest podmiot, który zawarł z operatorem pocztowym umowę o świadczenie usługi pocztowej. Przekładając to na przedmiotowe zamówienie </w:t>
      </w:r>
      <w:r w:rsidRPr="00876D89">
        <w:rPr>
          <w:rFonts w:ascii="Calibri" w:hAnsi="Calibri" w:cs="Calibri"/>
          <w:b/>
          <w:bCs/>
          <w:sz w:val="22"/>
          <w:szCs w:val="22"/>
        </w:rPr>
        <w:t xml:space="preserve">Wykonawca wnosi </w:t>
      </w:r>
      <w:r w:rsidR="007508BA">
        <w:rPr>
          <w:rFonts w:ascii="Calibri" w:hAnsi="Calibri" w:cs="Calibri"/>
          <w:b/>
          <w:bCs/>
          <w:sz w:val="22"/>
          <w:szCs w:val="22"/>
        </w:rPr>
        <w:br/>
      </w:r>
      <w:r w:rsidRPr="00876D89">
        <w:rPr>
          <w:rFonts w:ascii="Calibri" w:hAnsi="Calibri" w:cs="Calibri"/>
          <w:b/>
          <w:bCs/>
          <w:sz w:val="22"/>
          <w:szCs w:val="22"/>
        </w:rPr>
        <w:t>o potwierdzenie, czy w wyniku rozstrzygnięcia</w:t>
      </w:r>
      <w:r w:rsidRPr="00876D89">
        <w:rPr>
          <w:rFonts w:ascii="Calibri" w:hAnsi="Calibri" w:cs="Calibri"/>
          <w:sz w:val="22"/>
          <w:szCs w:val="22"/>
        </w:rPr>
        <w:t xml:space="preserve"> </w:t>
      </w:r>
      <w:r w:rsidRPr="00876D89">
        <w:rPr>
          <w:rFonts w:ascii="Calibri" w:hAnsi="Calibri" w:cs="Calibri"/>
          <w:b/>
          <w:bCs/>
          <w:sz w:val="22"/>
          <w:szCs w:val="22"/>
        </w:rPr>
        <w:t>niniejszego postępowania i wyboru najkorzystniejszej oferty, nadawcą przesyłek będzie Zamawiający, tj. Zarząd</w:t>
      </w:r>
      <w:r w:rsidRPr="00876D89">
        <w:rPr>
          <w:rFonts w:ascii="Calibri" w:hAnsi="Calibri" w:cs="Calibri"/>
          <w:sz w:val="22"/>
          <w:szCs w:val="22"/>
        </w:rPr>
        <w:t xml:space="preserve"> </w:t>
      </w:r>
      <w:r w:rsidRPr="00876D89">
        <w:rPr>
          <w:rFonts w:ascii="Calibri" w:hAnsi="Calibri" w:cs="Calibri"/>
          <w:b/>
          <w:bCs/>
          <w:sz w:val="22"/>
          <w:szCs w:val="22"/>
        </w:rPr>
        <w:t xml:space="preserve">Dróg Miejskich i Komunikacji </w:t>
      </w:r>
      <w:r w:rsidRPr="007934F2">
        <w:rPr>
          <w:rFonts w:ascii="Calibri" w:hAnsi="Calibri" w:cs="Calibri"/>
          <w:b/>
          <w:bCs/>
          <w:sz w:val="22"/>
          <w:szCs w:val="22"/>
        </w:rPr>
        <w:t>Publicznej w Bydgoszczy, który wybierze jednego operatora pocztowego i zawrze</w:t>
      </w:r>
      <w:r w:rsidR="00F16165" w:rsidRPr="007934F2">
        <w:rPr>
          <w:rFonts w:ascii="Calibri" w:hAnsi="Calibri" w:cs="Calibri"/>
          <w:sz w:val="22"/>
          <w:szCs w:val="22"/>
        </w:rPr>
        <w:t xml:space="preserve"> </w:t>
      </w:r>
      <w:r w:rsidRPr="007934F2">
        <w:rPr>
          <w:rFonts w:ascii="Calibri" w:hAnsi="Calibri" w:cs="Calibri"/>
          <w:b/>
          <w:bCs/>
          <w:sz w:val="22"/>
          <w:szCs w:val="22"/>
        </w:rPr>
        <w:t>z tym operatorem umowę o świadczenie usług pocztowych</w:t>
      </w:r>
      <w:r w:rsidRPr="0050327F">
        <w:rPr>
          <w:rFonts w:ascii="Calibri" w:hAnsi="Calibri" w:cs="Calibri"/>
          <w:b/>
          <w:bCs/>
          <w:sz w:val="22"/>
          <w:szCs w:val="22"/>
        </w:rPr>
        <w:t>?</w:t>
      </w:r>
    </w:p>
    <w:p w14:paraId="07FE166F" w14:textId="77777777" w:rsidR="0050327F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</w:p>
    <w:p w14:paraId="2FB5504C" w14:textId="49679075" w:rsidR="0050327F" w:rsidRPr="0050327F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Wykonawca może powierzyć wykonanie części zamówienia podwykonawcy (art. 462 ustawy Prawo zamówień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publicznych). Uprawnienie to zostało powtórzone przez Zamawiającego w Załączniku nr 2 §7 do SWZ.</w:t>
      </w:r>
    </w:p>
    <w:p w14:paraId="0D632695" w14:textId="176F366C" w:rsidR="0050327F" w:rsidRPr="0050327F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 xml:space="preserve">Niezależnie od faktu realizacji usługi pocztowej przez Wykonawcę samodzielnie, czy też </w:t>
      </w:r>
      <w:r w:rsidR="007508BA">
        <w:rPr>
          <w:rFonts w:ascii="Calibri" w:hAnsi="Calibri" w:cs="Calibri"/>
          <w:sz w:val="22"/>
          <w:szCs w:val="22"/>
        </w:rPr>
        <w:br/>
      </w:r>
      <w:r w:rsidRPr="0050327F">
        <w:rPr>
          <w:rFonts w:ascii="Calibri" w:hAnsi="Calibri" w:cs="Calibri"/>
          <w:sz w:val="22"/>
          <w:szCs w:val="22"/>
        </w:rPr>
        <w:t>z udziałem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 xml:space="preserve">podwykonawców, zasady świadczenia usługi pocztowej, zostały określone </w:t>
      </w:r>
      <w:r w:rsidR="007508BA">
        <w:rPr>
          <w:rFonts w:ascii="Calibri" w:hAnsi="Calibri" w:cs="Calibri"/>
          <w:sz w:val="22"/>
          <w:szCs w:val="22"/>
        </w:rPr>
        <w:br/>
      </w:r>
      <w:r w:rsidRPr="0050327F">
        <w:rPr>
          <w:rFonts w:ascii="Calibri" w:hAnsi="Calibri" w:cs="Calibri"/>
          <w:sz w:val="22"/>
          <w:szCs w:val="22"/>
        </w:rPr>
        <w:t>w Ustawie (art. 2, art. 3, art. 14).</w:t>
      </w:r>
    </w:p>
    <w:p w14:paraId="2C271F38" w14:textId="76E87125" w:rsidR="0050327F" w:rsidRPr="00F16165" w:rsidRDefault="0050327F" w:rsidP="00F16165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bCs/>
          <w:spacing w:val="-6"/>
          <w:sz w:val="22"/>
          <w:szCs w:val="22"/>
        </w:rPr>
      </w:pPr>
      <w:r w:rsidRPr="00F16165">
        <w:rPr>
          <w:rFonts w:ascii="Calibri" w:hAnsi="Calibri" w:cs="Calibri"/>
          <w:b/>
          <w:bCs/>
          <w:spacing w:val="-6"/>
          <w:sz w:val="22"/>
          <w:szCs w:val="22"/>
        </w:rPr>
        <w:t>Wykonawca zwraca się o wyjaśnienie i doprecyzowanie oczekiwanego przez Zamawiającego sposobu (procesu) świadczenia usług pocztowych z udziałem podwykonawców:</w:t>
      </w:r>
    </w:p>
    <w:p w14:paraId="3A9D186C" w14:textId="20877ED7" w:rsidR="0050327F" w:rsidRPr="00876D89" w:rsidRDefault="0050327F" w:rsidP="00F1616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czy Zamawiający wskazuje, że usługa pocztowa, będąca przedmiotem niniejszego zamówienia ma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charakter usługi pocztowej, zgodnie z definicją w art. 2 ust. 1 pkt 1 Ustawy i polega na: wykonywanym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>w obrocie krajowym lub zagranicznym, zarobkowym: realizowanym łącznie lub rozdzielnie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27F">
        <w:rPr>
          <w:rFonts w:ascii="Calibri" w:hAnsi="Calibri" w:cs="Calibri"/>
          <w:sz w:val="22"/>
          <w:szCs w:val="22"/>
        </w:rPr>
        <w:t xml:space="preserve">przyjmowaniem, sortowaniem, </w:t>
      </w:r>
      <w:r w:rsidRPr="00876D89">
        <w:rPr>
          <w:rFonts w:ascii="Calibri" w:hAnsi="Calibri" w:cs="Calibri"/>
          <w:sz w:val="22"/>
          <w:szCs w:val="22"/>
        </w:rPr>
        <w:t xml:space="preserve">doręczaniem przesyłek pocztowych oraz druków bezadresowych, od nadawcy </w:t>
      </w:r>
      <w:r w:rsidR="007508BA">
        <w:rPr>
          <w:rFonts w:ascii="Calibri" w:hAnsi="Calibri" w:cs="Calibri"/>
          <w:sz w:val="22"/>
          <w:szCs w:val="22"/>
        </w:rPr>
        <w:br/>
      </w:r>
      <w:r w:rsidRPr="00876D89">
        <w:rPr>
          <w:rFonts w:ascii="Calibri" w:hAnsi="Calibri" w:cs="Calibri"/>
          <w:sz w:val="22"/>
          <w:szCs w:val="22"/>
        </w:rPr>
        <w:t>do adresata (WERSJA nr 1)?</w:t>
      </w:r>
    </w:p>
    <w:p w14:paraId="3AAD202E" w14:textId="0919BB07" w:rsidR="0050327F" w:rsidRPr="00876D89" w:rsidRDefault="0050327F" w:rsidP="00F1616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76D89">
        <w:rPr>
          <w:rFonts w:ascii="Calibri" w:hAnsi="Calibri" w:cs="Calibri"/>
          <w:sz w:val="22"/>
          <w:szCs w:val="22"/>
        </w:rPr>
        <w:t xml:space="preserve">czy też: czy Zamawiający dopuszcza w ramach niniejszego zamówienia usługi o różnym – mieszanym charakterze, w skład których mogą wchodzić: odbieranie przesyłek </w:t>
      </w:r>
      <w:r w:rsidR="007508BA">
        <w:rPr>
          <w:rFonts w:ascii="Calibri" w:hAnsi="Calibri" w:cs="Calibri"/>
          <w:sz w:val="22"/>
          <w:szCs w:val="22"/>
        </w:rPr>
        <w:br/>
      </w:r>
      <w:r w:rsidRPr="00876D89">
        <w:rPr>
          <w:rFonts w:ascii="Calibri" w:hAnsi="Calibri" w:cs="Calibri"/>
          <w:sz w:val="22"/>
          <w:szCs w:val="22"/>
        </w:rPr>
        <w:lastRenderedPageBreak/>
        <w:t>od Zamawiającego, usługę przewozu przesyłek do placówki operatora wyznaczonego, nadawanie tych przesyłek w placówkach operatora wyznaczonego, a tym samym świadczenie usługi reprezentacji przy zawieraniu umowy, jak również</w:t>
      </w:r>
    </w:p>
    <w:p w14:paraId="4EC27C88" w14:textId="3FA56BFE" w:rsidR="0050327F" w:rsidRPr="00876D89" w:rsidRDefault="0050327F" w:rsidP="00F16165">
      <w:pPr>
        <w:pStyle w:val="Akapitzlist"/>
        <w:autoSpaceDE w:val="0"/>
        <w:autoSpaceDN w:val="0"/>
        <w:adjustRightInd w:val="0"/>
        <w:ind w:left="1353"/>
        <w:jc w:val="both"/>
        <w:rPr>
          <w:rFonts w:ascii="Calibri" w:hAnsi="Calibri" w:cs="Calibri"/>
          <w:sz w:val="22"/>
          <w:szCs w:val="22"/>
        </w:rPr>
      </w:pPr>
      <w:r w:rsidRPr="00876D89">
        <w:rPr>
          <w:rFonts w:ascii="Calibri" w:hAnsi="Calibri" w:cs="Calibri"/>
          <w:sz w:val="22"/>
          <w:szCs w:val="22"/>
        </w:rPr>
        <w:t>usługę płatniczą regulowaną w art. 3 ust. 1 pkt 2 lit. a ustawy o usługach płatniczych (WERSJA nr 2)?</w:t>
      </w:r>
    </w:p>
    <w:p w14:paraId="64B9C809" w14:textId="3B28A282" w:rsidR="0050327F" w:rsidRPr="00F16165" w:rsidRDefault="0050327F" w:rsidP="00F16165">
      <w:pPr>
        <w:pStyle w:val="Akapitzlist"/>
        <w:ind w:left="135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Należy tu podkreślić, iż nawet jeśli wykonawca wskazuje, iż sam ponosi koszty nadania przesyłki u operatora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wyznaczonego, to ze względu na zastosowaną konstrukcję prawną, w której wykonawca zawiera w imieniu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nadawcy umowę o świadczenie usług pocztowych w placówce operatora wyznaczonego, płatność ta dokonywana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 xml:space="preserve">jest </w:t>
      </w:r>
      <w:r w:rsidR="007508BA">
        <w:rPr>
          <w:rFonts w:ascii="Calibri" w:hAnsi="Calibri" w:cs="Calibri"/>
          <w:sz w:val="22"/>
          <w:szCs w:val="22"/>
        </w:rPr>
        <w:br/>
      </w:r>
      <w:r w:rsidRPr="00F16165">
        <w:rPr>
          <w:rFonts w:ascii="Calibri" w:hAnsi="Calibri" w:cs="Calibri"/>
          <w:sz w:val="22"/>
          <w:szCs w:val="22"/>
        </w:rPr>
        <w:t>w imieniu nadawcy, a nie wykonawcy, tym samym koniecznym elementem takiej usługi jest świadczenie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usługi płatniczej.</w:t>
      </w:r>
    </w:p>
    <w:p w14:paraId="4CF58680" w14:textId="20EF1A16" w:rsidR="0050327F" w:rsidRPr="00F16165" w:rsidRDefault="0050327F" w:rsidP="00F16165">
      <w:pPr>
        <w:pStyle w:val="Akapitzlist"/>
        <w:ind w:left="135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 xml:space="preserve">Wykonawca wskazuje, że zgodnie z art. 99 i n. ustawy Prawo zamówień publicznych </w:t>
      </w:r>
      <w:r w:rsidR="007508BA">
        <w:rPr>
          <w:rFonts w:ascii="Calibri" w:hAnsi="Calibri" w:cs="Calibri"/>
          <w:sz w:val="22"/>
          <w:szCs w:val="22"/>
        </w:rPr>
        <w:br/>
      </w:r>
      <w:r w:rsidRPr="0050327F">
        <w:rPr>
          <w:rFonts w:ascii="Calibri" w:hAnsi="Calibri" w:cs="Calibri"/>
          <w:sz w:val="22"/>
          <w:szCs w:val="22"/>
        </w:rPr>
        <w:t>z 2019 r., obowiązującej od 1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stycznia 2021 r., jak również w przepisach obowiązujących do dnia 31 grudnia 2020 r., Zamawiający jest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zobowiązany do opisania przedmiotu zamówienia w sposób jednoznaczny i wyczerpujący, za pomocą dostatecznie</w:t>
      </w:r>
    </w:p>
    <w:p w14:paraId="3FBBA4A4" w14:textId="38EDC33F" w:rsidR="0050327F" w:rsidRPr="00F16165" w:rsidRDefault="0050327F" w:rsidP="00F16165">
      <w:pPr>
        <w:pStyle w:val="Akapitzlist"/>
        <w:ind w:left="135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dokładnych i zrozumiałych określeń, uwzględniając wymagania i okoliczności mogące mieć wpływ na sporządzenie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oferty. Zamawiający określa przede wszystkim w opisie przedmiotu zamówienia wymagane cechy dostaw, usług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lub robót budowlanych. Cechy te mogą odnosić się w szczególności do określonego procesu, metody produkcji,</w:t>
      </w:r>
    </w:p>
    <w:p w14:paraId="266A3C11" w14:textId="4486538C" w:rsidR="0050327F" w:rsidRPr="007508BA" w:rsidRDefault="0050327F" w:rsidP="00F16165">
      <w:pPr>
        <w:pStyle w:val="Akapitzlist"/>
        <w:ind w:left="1353"/>
        <w:jc w:val="both"/>
        <w:rPr>
          <w:rFonts w:ascii="Calibri" w:hAnsi="Calibri" w:cs="Calibri"/>
          <w:sz w:val="22"/>
          <w:szCs w:val="22"/>
        </w:rPr>
      </w:pPr>
      <w:r w:rsidRPr="0050327F">
        <w:rPr>
          <w:rFonts w:ascii="Calibri" w:hAnsi="Calibri" w:cs="Calibri"/>
          <w:sz w:val="22"/>
          <w:szCs w:val="22"/>
        </w:rPr>
        <w:t>realizacji wymaganych dostaw, usług lub robót budowlanych lub do konkretnego procesu innego etapu ich cyklu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życia, nawet jeżeli te czynniki nie są ich istotnym elementem, pod warunkiem, że są one związane z przedmiotem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>zamówienia oraz proporcjonalne do jego wartości i celów. Ponadto w przypadku zamówień przeznaczonych do</w:t>
      </w:r>
      <w:r w:rsidR="00F16165">
        <w:rPr>
          <w:rFonts w:ascii="Calibri" w:hAnsi="Calibri" w:cs="Calibri"/>
          <w:sz w:val="22"/>
          <w:szCs w:val="22"/>
        </w:rPr>
        <w:t xml:space="preserve"> </w:t>
      </w:r>
      <w:r w:rsidRPr="00F16165">
        <w:rPr>
          <w:rFonts w:ascii="Calibri" w:hAnsi="Calibri" w:cs="Calibri"/>
          <w:sz w:val="22"/>
          <w:szCs w:val="22"/>
        </w:rPr>
        <w:t xml:space="preserve">użytku osób fizycznych, opis przedmiotu zamówienia sporządza się, z uwzględnieniem </w:t>
      </w:r>
      <w:r w:rsidRPr="007508BA">
        <w:rPr>
          <w:rFonts w:ascii="Calibri" w:hAnsi="Calibri" w:cs="Calibri"/>
          <w:sz w:val="22"/>
          <w:szCs w:val="22"/>
        </w:rPr>
        <w:t>wymagań w zakresie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>dostępności dla osób niepełnosprawnych.</w:t>
      </w:r>
    </w:p>
    <w:p w14:paraId="0E516975" w14:textId="15DD9057" w:rsidR="0050327F" w:rsidRPr="007508BA" w:rsidRDefault="0050327F" w:rsidP="00F16165">
      <w:pPr>
        <w:pStyle w:val="Akapitzlist"/>
        <w:ind w:left="1353"/>
        <w:jc w:val="both"/>
        <w:rPr>
          <w:rFonts w:ascii="Calibri" w:hAnsi="Calibri" w:cs="Calibri"/>
          <w:sz w:val="22"/>
          <w:szCs w:val="22"/>
        </w:rPr>
      </w:pPr>
      <w:r w:rsidRPr="007508BA">
        <w:rPr>
          <w:rFonts w:ascii="Calibri" w:hAnsi="Calibri" w:cs="Calibri"/>
          <w:sz w:val="22"/>
          <w:szCs w:val="22"/>
        </w:rPr>
        <w:t xml:space="preserve">Wykonawca wskazuje, że w przypadku udzielenia odpowiedzi na powyższe pytanie </w:t>
      </w:r>
      <w:r w:rsidR="007508BA" w:rsidRPr="007508BA">
        <w:rPr>
          <w:rFonts w:ascii="Calibri" w:hAnsi="Calibri" w:cs="Calibri"/>
          <w:sz w:val="22"/>
          <w:szCs w:val="22"/>
        </w:rPr>
        <w:br/>
      </w:r>
      <w:r w:rsidRPr="007508BA">
        <w:rPr>
          <w:rFonts w:ascii="Calibri" w:hAnsi="Calibri" w:cs="Calibri"/>
          <w:sz w:val="22"/>
          <w:szCs w:val="22"/>
        </w:rPr>
        <w:t>i wyboru sposobu świadczenia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 xml:space="preserve">usług pocztowych w niniejszym zamówieniu </w:t>
      </w:r>
      <w:r w:rsidRPr="007508BA">
        <w:rPr>
          <w:rFonts w:ascii="Calibri" w:hAnsi="Calibri" w:cs="Calibri"/>
          <w:bCs/>
          <w:sz w:val="22"/>
          <w:szCs w:val="22"/>
        </w:rPr>
        <w:t xml:space="preserve">również </w:t>
      </w:r>
      <w:r w:rsidR="007508BA">
        <w:rPr>
          <w:rFonts w:ascii="Calibri" w:hAnsi="Calibri" w:cs="Calibri"/>
          <w:bCs/>
          <w:sz w:val="22"/>
          <w:szCs w:val="22"/>
        </w:rPr>
        <w:br/>
      </w:r>
      <w:r w:rsidRPr="007508BA">
        <w:rPr>
          <w:rFonts w:ascii="Calibri" w:hAnsi="Calibri" w:cs="Calibri"/>
          <w:bCs/>
          <w:sz w:val="22"/>
          <w:szCs w:val="22"/>
        </w:rPr>
        <w:t>w WERSJI nr 2</w:t>
      </w:r>
      <w:r w:rsidRPr="007508BA">
        <w:rPr>
          <w:rFonts w:ascii="Calibri" w:hAnsi="Calibri" w:cs="Calibri"/>
          <w:sz w:val="22"/>
          <w:szCs w:val="22"/>
        </w:rPr>
        <w:t>, w związku z niepełnym, a zatem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 xml:space="preserve">nieprawidłowym opisem przedmiotu zamówienia publicznego, </w:t>
      </w:r>
      <w:r w:rsidRPr="007508BA">
        <w:rPr>
          <w:rFonts w:ascii="Calibri" w:hAnsi="Calibri" w:cs="Calibri"/>
          <w:bCs/>
          <w:sz w:val="22"/>
          <w:szCs w:val="22"/>
        </w:rPr>
        <w:t>w przypadku braku określenia prawidłowego</w:t>
      </w:r>
      <w:r w:rsidRPr="007508BA">
        <w:rPr>
          <w:rFonts w:ascii="Calibri" w:hAnsi="Calibri" w:cs="Calibri"/>
          <w:sz w:val="22"/>
          <w:szCs w:val="22"/>
        </w:rPr>
        <w:t>,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>zgodnie z art. 17 ustawy o odpowiedzialności za naruszenie dyscypliny finansów publicznych, kierownik jednostki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>lub inna osoba działająca w imieniu jednostki zamówienia publicznego popełnia delikt finansowy z zakresu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 xml:space="preserve">zamówień publicznych na podstawie tej ustawy, stanowiący podstawę do ukarania w trybie przepisów ustawy </w:t>
      </w:r>
      <w:r w:rsidR="007508BA">
        <w:rPr>
          <w:rFonts w:ascii="Calibri" w:hAnsi="Calibri" w:cs="Calibri"/>
          <w:sz w:val="22"/>
          <w:szCs w:val="22"/>
        </w:rPr>
        <w:br/>
      </w:r>
      <w:r w:rsidRPr="007508BA">
        <w:rPr>
          <w:rFonts w:ascii="Calibri" w:hAnsi="Calibri" w:cs="Calibri"/>
          <w:sz w:val="22"/>
          <w:szCs w:val="22"/>
        </w:rPr>
        <w:t>o</w:t>
      </w:r>
      <w:r w:rsidR="00F16165" w:rsidRPr="007508BA">
        <w:rPr>
          <w:rFonts w:ascii="Calibri" w:hAnsi="Calibri" w:cs="Calibri"/>
          <w:sz w:val="22"/>
          <w:szCs w:val="22"/>
        </w:rPr>
        <w:t xml:space="preserve"> </w:t>
      </w:r>
      <w:r w:rsidRPr="007508BA">
        <w:rPr>
          <w:rFonts w:ascii="Calibri" w:hAnsi="Calibri" w:cs="Calibri"/>
          <w:sz w:val="22"/>
          <w:szCs w:val="22"/>
        </w:rPr>
        <w:t>odpowiedzialności za naruszenie dyscypliny finansów publicznych.</w:t>
      </w:r>
    </w:p>
    <w:p w14:paraId="16305256" w14:textId="39FC259F" w:rsidR="0050327F" w:rsidRPr="007508BA" w:rsidRDefault="0050327F" w:rsidP="00F16165">
      <w:pPr>
        <w:pStyle w:val="Akapitzlist"/>
        <w:ind w:left="1353"/>
        <w:jc w:val="both"/>
        <w:rPr>
          <w:rFonts w:ascii="Calibri" w:hAnsi="Calibri" w:cs="Calibri"/>
          <w:bCs/>
          <w:sz w:val="22"/>
          <w:szCs w:val="22"/>
        </w:rPr>
      </w:pPr>
      <w:r w:rsidRPr="007508BA">
        <w:rPr>
          <w:rFonts w:ascii="Calibri" w:hAnsi="Calibri" w:cs="Calibri"/>
          <w:bCs/>
          <w:sz w:val="22"/>
          <w:szCs w:val="22"/>
        </w:rPr>
        <w:t>Tym samym, jeżeli Zamawiający oczekuje i dopuszcza usługi opisane w WERSJI nr 2,</w:t>
      </w:r>
      <w:r w:rsidR="005C1C4E">
        <w:rPr>
          <w:rFonts w:ascii="Calibri" w:hAnsi="Calibri" w:cs="Calibri"/>
          <w:bCs/>
          <w:sz w:val="22"/>
          <w:szCs w:val="22"/>
        </w:rPr>
        <w:br/>
      </w:r>
      <w:r w:rsidRPr="007508BA">
        <w:rPr>
          <w:rFonts w:ascii="Calibri" w:hAnsi="Calibri" w:cs="Calibri"/>
          <w:bCs/>
          <w:sz w:val="22"/>
          <w:szCs w:val="22"/>
        </w:rPr>
        <w:t>to Wykonawca wskazuje na</w:t>
      </w:r>
      <w:r w:rsidR="00F16165" w:rsidRPr="007508BA">
        <w:rPr>
          <w:rFonts w:ascii="Calibri" w:hAnsi="Calibri" w:cs="Calibri"/>
          <w:bCs/>
          <w:sz w:val="22"/>
          <w:szCs w:val="22"/>
        </w:rPr>
        <w:t xml:space="preserve"> </w:t>
      </w:r>
      <w:r w:rsidRPr="007508BA">
        <w:rPr>
          <w:rFonts w:ascii="Calibri" w:hAnsi="Calibri" w:cs="Calibri"/>
          <w:bCs/>
          <w:sz w:val="22"/>
          <w:szCs w:val="22"/>
        </w:rPr>
        <w:t>konieczność zmiany treści SWZ, w części określającej przedmiot zamówienia oraz dostosowanie dokumentacji</w:t>
      </w:r>
      <w:r w:rsidR="00F16165" w:rsidRPr="007508BA">
        <w:rPr>
          <w:rFonts w:ascii="Calibri" w:hAnsi="Calibri" w:cs="Calibri"/>
          <w:bCs/>
          <w:sz w:val="22"/>
          <w:szCs w:val="22"/>
        </w:rPr>
        <w:t xml:space="preserve"> </w:t>
      </w:r>
      <w:r w:rsidRPr="007508BA">
        <w:rPr>
          <w:rFonts w:ascii="Calibri" w:hAnsi="Calibri" w:cs="Calibri"/>
          <w:bCs/>
          <w:sz w:val="22"/>
          <w:szCs w:val="22"/>
        </w:rPr>
        <w:t xml:space="preserve">postępowania </w:t>
      </w:r>
      <w:r w:rsidR="007508BA">
        <w:rPr>
          <w:rFonts w:ascii="Calibri" w:hAnsi="Calibri" w:cs="Calibri"/>
          <w:bCs/>
          <w:sz w:val="22"/>
          <w:szCs w:val="22"/>
        </w:rPr>
        <w:br/>
      </w:r>
      <w:r w:rsidRPr="007508BA">
        <w:rPr>
          <w:rFonts w:ascii="Calibri" w:hAnsi="Calibri" w:cs="Calibri"/>
          <w:bCs/>
          <w:sz w:val="22"/>
          <w:szCs w:val="22"/>
        </w:rPr>
        <w:t>do prawidłowego opisania przedmiotu zamówienia.</w:t>
      </w:r>
    </w:p>
    <w:p w14:paraId="35785E5B" w14:textId="77777777" w:rsidR="0050327F" w:rsidRPr="0050327F" w:rsidRDefault="0050327F" w:rsidP="0050327F">
      <w:pPr>
        <w:pStyle w:val="Akapitzlist"/>
        <w:autoSpaceDE w:val="0"/>
        <w:autoSpaceDN w:val="0"/>
        <w:adjustRightInd w:val="0"/>
        <w:ind w:left="1353"/>
        <w:rPr>
          <w:rFonts w:ascii="Calibri" w:hAnsi="Calibri" w:cs="Calibri"/>
          <w:sz w:val="22"/>
          <w:szCs w:val="22"/>
        </w:rPr>
      </w:pPr>
    </w:p>
    <w:p w14:paraId="0A5ABBBD" w14:textId="6D10787E" w:rsidR="008F24D5" w:rsidRDefault="008F24D5" w:rsidP="005728F3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A8B909D" w14:textId="77F67FAC" w:rsidR="00C41BD8" w:rsidRPr="00C41BD8" w:rsidRDefault="005728F3" w:rsidP="00C41BD8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5728F3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C41BD8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C41BD8" w:rsidRPr="00C41BD8">
        <w:rPr>
          <w:rFonts w:asciiTheme="minorHAnsi" w:hAnsiTheme="minorHAnsi" w:cstheme="minorHAnsi"/>
          <w:color w:val="0000CC"/>
          <w:sz w:val="22"/>
          <w:szCs w:val="22"/>
        </w:rPr>
        <w:t xml:space="preserve">nie jest specjalistą Prawa pocztowego. Tworząc rocznie tysiące dokumentów wymagających doręczenia adresatom, w tym kierowanych do sądów i innych organów orzekających, </w:t>
      </w:r>
      <w:r w:rsidR="007508BA">
        <w:rPr>
          <w:rFonts w:asciiTheme="minorHAnsi" w:hAnsiTheme="minorHAnsi" w:cstheme="minorHAnsi"/>
          <w:color w:val="0000CC"/>
          <w:sz w:val="22"/>
          <w:szCs w:val="22"/>
        </w:rPr>
        <w:br/>
      </w:r>
      <w:r w:rsidR="00C41BD8" w:rsidRPr="00C41BD8">
        <w:rPr>
          <w:rFonts w:asciiTheme="minorHAnsi" w:hAnsiTheme="minorHAnsi" w:cstheme="minorHAnsi"/>
          <w:color w:val="0000CC"/>
          <w:sz w:val="22"/>
          <w:szCs w:val="22"/>
        </w:rPr>
        <w:t xml:space="preserve">a więc wymagających zachowania urzędowych terminów, oczekuje profesjonalnej i niezwodnej obsługi w tym zakresie.     </w:t>
      </w:r>
    </w:p>
    <w:p w14:paraId="5C5E8FD7" w14:textId="4EA77837" w:rsidR="00F051F5" w:rsidRDefault="00C41BD8" w:rsidP="00876D89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C41BD8">
        <w:rPr>
          <w:rFonts w:asciiTheme="minorHAnsi" w:hAnsiTheme="minorHAnsi" w:cstheme="minorHAnsi"/>
          <w:color w:val="0000CC"/>
          <w:sz w:val="22"/>
          <w:szCs w:val="22"/>
        </w:rPr>
        <w:t xml:space="preserve">W ramach tego dopuszcza się odbiór przesyłek przez Wykonawcę z Kancelarii Zamawiającego oraz </w:t>
      </w:r>
      <w:r w:rsidR="007508BA">
        <w:rPr>
          <w:rFonts w:asciiTheme="minorHAnsi" w:hAnsiTheme="minorHAnsi" w:cstheme="minorHAnsi"/>
          <w:color w:val="0000CC"/>
          <w:sz w:val="22"/>
          <w:szCs w:val="22"/>
        </w:rPr>
        <w:br/>
      </w:r>
      <w:r w:rsidRPr="00C41BD8">
        <w:rPr>
          <w:rFonts w:asciiTheme="minorHAnsi" w:hAnsiTheme="minorHAnsi" w:cstheme="minorHAnsi"/>
          <w:color w:val="0000CC"/>
          <w:sz w:val="22"/>
          <w:szCs w:val="22"/>
        </w:rPr>
        <w:t xml:space="preserve">na zasadach ogólnych, dopuszcza się podwykonawstwo. Opis </w:t>
      </w:r>
      <w:r w:rsidR="007508BA">
        <w:rPr>
          <w:rFonts w:asciiTheme="minorHAnsi" w:hAnsiTheme="minorHAnsi" w:cstheme="minorHAnsi"/>
          <w:color w:val="0000CC"/>
          <w:sz w:val="22"/>
          <w:szCs w:val="22"/>
        </w:rPr>
        <w:t>Przedmiotu Zamówienia załączony</w:t>
      </w:r>
      <w:r w:rsidR="007508BA">
        <w:rPr>
          <w:rFonts w:asciiTheme="minorHAnsi" w:hAnsiTheme="minorHAnsi" w:cstheme="minorHAnsi"/>
          <w:color w:val="0000CC"/>
          <w:sz w:val="22"/>
          <w:szCs w:val="22"/>
        </w:rPr>
        <w:br/>
      </w:r>
      <w:r w:rsidRPr="00C41BD8">
        <w:rPr>
          <w:rFonts w:asciiTheme="minorHAnsi" w:hAnsiTheme="minorHAnsi" w:cstheme="minorHAnsi"/>
          <w:color w:val="0000CC"/>
          <w:sz w:val="22"/>
          <w:szCs w:val="22"/>
        </w:rPr>
        <w:t>do SWZ wyczerpująco opisuje potrzeby Zamawiającego. Zamawiający nie podziela stanowiska Wykonawcy, co do opisu przedmiotu zamówienia jako nieprawidłowe, a już szczególnie jako naruszające Prawo zamówień publicznych.</w:t>
      </w:r>
      <w:bookmarkStart w:id="1" w:name="_Hlk21348870"/>
    </w:p>
    <w:p w14:paraId="09BBC7CD" w14:textId="77777777" w:rsidR="0063594A" w:rsidRPr="00876D89" w:rsidRDefault="0063594A" w:rsidP="00876D89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0772BB7D" w14:textId="77777777" w:rsidR="008457AE" w:rsidRDefault="008457AE" w:rsidP="008457AE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14:paraId="578F6EAB" w14:textId="77777777" w:rsidR="008457AE" w:rsidRDefault="008457AE" w:rsidP="008457A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wyjaśnienia nie prowadzą do zmiany treści ogłoszenia o zamówieniu.</w:t>
      </w:r>
    </w:p>
    <w:p w14:paraId="3495822B" w14:textId="77777777" w:rsidR="008457AE" w:rsidRDefault="008457AE" w:rsidP="008457AE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14:paraId="6A2BC932" w14:textId="42B8966F" w:rsidR="00F051F5" w:rsidRPr="00F051F5" w:rsidRDefault="008457AE" w:rsidP="00F051F5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na postawie art. 286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przedłuża termin składnia ofert 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Arial"/>
          <w:bCs/>
          <w:sz w:val="22"/>
          <w:szCs w:val="22"/>
        </w:rPr>
        <w:t xml:space="preserve"> czas niezbędny do zapoznania się wszystkich zainteresowanych Wykonawców z wyjaśnieniami niezbędnymi </w:t>
      </w:r>
      <w:r>
        <w:rPr>
          <w:rFonts w:ascii="Calibri" w:hAnsi="Calibri" w:cs="Arial"/>
          <w:bCs/>
          <w:sz w:val="22"/>
          <w:szCs w:val="22"/>
        </w:rPr>
        <w:br/>
        <w:t>do należytego przygotowania i złożenia ofert</w:t>
      </w:r>
      <w:r>
        <w:rPr>
          <w:rFonts w:ascii="Calibri" w:hAnsi="Calibri" w:cs="Arial"/>
          <w:b/>
          <w:bCs/>
          <w:sz w:val="22"/>
          <w:szCs w:val="22"/>
        </w:rPr>
        <w:t xml:space="preserve"> do dnia 15.11.2021 r. godz. 10:00</w:t>
      </w:r>
      <w:r>
        <w:rPr>
          <w:rFonts w:ascii="Calibri" w:hAnsi="Calibri" w:cs="Calibri"/>
          <w:sz w:val="22"/>
          <w:szCs w:val="22"/>
        </w:rPr>
        <w:t xml:space="preserve"> i dokonuje w tym zakresie </w:t>
      </w:r>
      <w:r w:rsidR="00840421">
        <w:rPr>
          <w:rFonts w:ascii="Calibri" w:hAnsi="Calibri" w:cs="Calibri"/>
          <w:b/>
          <w:bCs/>
          <w:sz w:val="22"/>
          <w:szCs w:val="22"/>
        </w:rPr>
        <w:t>ZMIANY Nr 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treści SWZ.</w:t>
      </w:r>
    </w:p>
    <w:p w14:paraId="76329673" w14:textId="77777777" w:rsidR="008457AE" w:rsidRDefault="008457AE" w:rsidP="008457AE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bookmarkStart w:id="2" w:name="_Hlk68772595"/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lastRenderedPageBreak/>
        <w:t>Wobec powyższego Zamawiający zmienia dotychczasową datę:</w:t>
      </w:r>
    </w:p>
    <w:bookmarkEnd w:id="2"/>
    <w:p w14:paraId="0DC2BCAE" w14:textId="1E290F74" w:rsidR="008457AE" w:rsidRDefault="008457AE" w:rsidP="008457A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„10.11.2021 r.”, zawartą w pkt XIII. i XIV. SWZ, dotyczącą składania i otwarcia ofert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15.11.2021 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2CD1F47" w14:textId="77777777" w:rsidR="008457AE" w:rsidRDefault="008457AE" w:rsidP="008457AE">
      <w:pPr>
        <w:pStyle w:val="Tekstpodstawowy"/>
        <w:spacing w:after="0"/>
        <w:ind w:left="709"/>
        <w:rPr>
          <w:rFonts w:ascii="Calibri" w:hAnsi="Calibri" w:cs="Calibri"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1235A5E3" w14:textId="4ECE6940" w:rsidR="008457AE" w:rsidRPr="00876D89" w:rsidRDefault="008457AE" w:rsidP="008457A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„09.12.2021 r.”, zawartą w pkt XV. SWZ, dotyczącą terminu związania ofertą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14.12.2021 r.”</w:t>
      </w:r>
    </w:p>
    <w:p w14:paraId="5B340FA6" w14:textId="77777777" w:rsidR="00876D89" w:rsidRDefault="00876D89" w:rsidP="00876D89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2F29A6B2" w14:textId="5B321B0F" w:rsidR="008457AE" w:rsidRDefault="008457AE" w:rsidP="008457A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Udzielone wyjaśnienia i dokonana </w:t>
      </w:r>
      <w:r>
        <w:rPr>
          <w:rFonts w:ascii="Calibri" w:hAnsi="Calibri" w:cs="Calibri"/>
          <w:b/>
          <w:bCs/>
          <w:sz w:val="22"/>
          <w:szCs w:val="22"/>
        </w:rPr>
        <w:t xml:space="preserve">ZMIANA NR 2 </w:t>
      </w:r>
      <w:r>
        <w:rPr>
          <w:rFonts w:ascii="Calibri" w:hAnsi="Calibri" w:cs="Calibri"/>
          <w:bCs/>
          <w:sz w:val="22"/>
          <w:szCs w:val="22"/>
        </w:rPr>
        <w:t>treści SWZ</w:t>
      </w:r>
      <w:r>
        <w:rPr>
          <w:rFonts w:ascii="Calibri" w:hAnsi="Calibri" w:cs="Calibri"/>
          <w:sz w:val="22"/>
          <w:szCs w:val="22"/>
        </w:rPr>
        <w:t xml:space="preserve"> stają się obowiązujące dla wszystkich </w:t>
      </w:r>
      <w:r>
        <w:rPr>
          <w:rFonts w:ascii="Calibri" w:hAnsi="Calibri" w:cs="Calibri"/>
          <w:spacing w:val="-4"/>
          <w:sz w:val="22"/>
          <w:szCs w:val="22"/>
        </w:rPr>
        <w:t>Wykonawców ubiegających się o udzielenie przedmiotowego zamówienia z dniem ich udostępnienia</w:t>
      </w:r>
      <w:r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>
        <w:rPr>
          <w:rFonts w:ascii="Calibri" w:hAnsi="Calibri" w:cs="Calibri"/>
          <w:b/>
          <w:bCs/>
          <w:sz w:val="22"/>
          <w:szCs w:val="22"/>
        </w:rPr>
        <w:t xml:space="preserve">ID </w:t>
      </w:r>
      <w:r>
        <w:rPr>
          <w:rFonts w:asciiTheme="minorHAnsi" w:hAnsiTheme="minorHAnsi" w:cstheme="minorHAnsi"/>
          <w:b/>
          <w:bCs/>
          <w:sz w:val="22"/>
          <w:szCs w:val="22"/>
        </w:rPr>
        <w:t>528166</w:t>
      </w:r>
      <w:r>
        <w:rPr>
          <w:rFonts w:ascii="Calibri" w:hAnsi="Calibri" w:cs="Calibri"/>
          <w:sz w:val="22"/>
          <w:szCs w:val="22"/>
        </w:rPr>
        <w:t>).</w:t>
      </w:r>
    </w:p>
    <w:p w14:paraId="6BECD21A" w14:textId="77777777" w:rsidR="008457AE" w:rsidRDefault="008457AE" w:rsidP="008457A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7452EAC" w14:textId="77777777" w:rsidR="008457AE" w:rsidRDefault="008457AE" w:rsidP="008457AE">
      <w:pPr>
        <w:ind w:left="4536" w:right="-1"/>
        <w:rPr>
          <w:rFonts w:asciiTheme="minorHAnsi" w:hAnsiTheme="minorHAnsi" w:cstheme="minorHAnsi"/>
          <w:sz w:val="20"/>
          <w:szCs w:val="20"/>
        </w:rPr>
      </w:pPr>
    </w:p>
    <w:p w14:paraId="2C44E6CB" w14:textId="77777777" w:rsidR="008457AE" w:rsidRPr="0059126B" w:rsidRDefault="008457AE" w:rsidP="008457AE">
      <w:pPr>
        <w:ind w:left="4536" w:right="-1"/>
        <w:rPr>
          <w:rFonts w:asciiTheme="minorHAnsi" w:hAnsiTheme="minorHAnsi" w:cstheme="minorHAnsi"/>
          <w:sz w:val="20"/>
          <w:szCs w:val="20"/>
        </w:rPr>
      </w:pPr>
    </w:p>
    <w:p w14:paraId="341C66CF" w14:textId="77777777" w:rsidR="008457AE" w:rsidRPr="0059126B" w:rsidRDefault="008457AE" w:rsidP="008457A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9126B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0A0E373" w14:textId="77777777" w:rsidR="008457AE" w:rsidRPr="0059126B" w:rsidRDefault="008457AE" w:rsidP="008457AE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9126B">
        <w:rPr>
          <w:rFonts w:asciiTheme="minorHAnsi" w:hAnsiTheme="minorHAnsi" w:cstheme="minorHAnsi"/>
          <w:sz w:val="20"/>
          <w:szCs w:val="20"/>
        </w:rPr>
        <w:t>podpis nieczytelny</w:t>
      </w:r>
    </w:p>
    <w:p w14:paraId="77427ADB" w14:textId="77777777" w:rsidR="008457AE" w:rsidRPr="0059126B" w:rsidRDefault="008457AE" w:rsidP="008457AE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126B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C7019B8" w14:textId="77777777" w:rsidR="008457AE" w:rsidRDefault="008457AE" w:rsidP="008457AE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39792EC" w14:textId="77777777" w:rsidR="008457AE" w:rsidRDefault="008457AE" w:rsidP="008457AE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6186ED4D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4A8AAD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B6D150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88A1F5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BA212C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319787DA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437B22" w14:textId="77777777" w:rsidR="009361BB" w:rsidRDefault="009361BB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590916E" w14:textId="77777777" w:rsidR="00BE6D7D" w:rsidRPr="00B31083" w:rsidRDefault="00BE6D7D" w:rsidP="00B31083">
      <w:pPr>
        <w:ind w:left="4536" w:right="-1"/>
        <w:jc w:val="center"/>
        <w:rPr>
          <w:sz w:val="16"/>
          <w:szCs w:val="16"/>
        </w:rPr>
      </w:pPr>
    </w:p>
    <w:sectPr w:rsidR="00BE6D7D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ACF3" w14:textId="77777777" w:rsidR="0066537E" w:rsidRDefault="0066537E">
      <w:r>
        <w:separator/>
      </w:r>
    </w:p>
  </w:endnote>
  <w:endnote w:type="continuationSeparator" w:id="0">
    <w:p w14:paraId="63DB17D0" w14:textId="77777777" w:rsidR="0066537E" w:rsidRDefault="0066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9126B">
      <w:rPr>
        <w:rFonts w:ascii="Calibri" w:hAnsi="Calibri"/>
        <w:noProof/>
        <w:sz w:val="20"/>
        <w:szCs w:val="20"/>
      </w:rPr>
      <w:t>4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BA034" w14:textId="77777777" w:rsidR="0066537E" w:rsidRDefault="0066537E">
      <w:r>
        <w:separator/>
      </w:r>
    </w:p>
  </w:footnote>
  <w:footnote w:type="continuationSeparator" w:id="0">
    <w:p w14:paraId="4CA461B4" w14:textId="77777777" w:rsidR="0066537E" w:rsidRDefault="0066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705239"/>
    <w:multiLevelType w:val="hybridMultilevel"/>
    <w:tmpl w:val="2912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1119"/>
    <w:multiLevelType w:val="hybridMultilevel"/>
    <w:tmpl w:val="81EE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0491"/>
    <w:multiLevelType w:val="hybridMultilevel"/>
    <w:tmpl w:val="B43872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D65F"/>
    <w:multiLevelType w:val="hybridMultilevel"/>
    <w:tmpl w:val="B02CDD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016F3E"/>
    <w:multiLevelType w:val="hybridMultilevel"/>
    <w:tmpl w:val="19A6561C"/>
    <w:lvl w:ilvl="0" w:tplc="E986676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2612"/>
    <w:multiLevelType w:val="multilevel"/>
    <w:tmpl w:val="C650A69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A755C80"/>
    <w:multiLevelType w:val="hybridMultilevel"/>
    <w:tmpl w:val="2CE0D7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D42B3"/>
    <w:multiLevelType w:val="hybridMultilevel"/>
    <w:tmpl w:val="5A74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14D4"/>
    <w:multiLevelType w:val="hybridMultilevel"/>
    <w:tmpl w:val="3C644F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124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3AA2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0A51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2206"/>
    <w:rsid w:val="000F487C"/>
    <w:rsid w:val="0010078C"/>
    <w:rsid w:val="00103CB0"/>
    <w:rsid w:val="00106A4E"/>
    <w:rsid w:val="00107336"/>
    <w:rsid w:val="00107D82"/>
    <w:rsid w:val="0011213A"/>
    <w:rsid w:val="001123CA"/>
    <w:rsid w:val="0011552B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1F2"/>
    <w:rsid w:val="00180425"/>
    <w:rsid w:val="0018705D"/>
    <w:rsid w:val="00191551"/>
    <w:rsid w:val="00192005"/>
    <w:rsid w:val="00193140"/>
    <w:rsid w:val="00193350"/>
    <w:rsid w:val="0019346A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C79C8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27DC2"/>
    <w:rsid w:val="0023442F"/>
    <w:rsid w:val="002405DC"/>
    <w:rsid w:val="00241551"/>
    <w:rsid w:val="00243991"/>
    <w:rsid w:val="00246AFA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86197"/>
    <w:rsid w:val="002904E5"/>
    <w:rsid w:val="002909D3"/>
    <w:rsid w:val="00293602"/>
    <w:rsid w:val="00293FA1"/>
    <w:rsid w:val="00296DB9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30737"/>
    <w:rsid w:val="00330BA7"/>
    <w:rsid w:val="00331D66"/>
    <w:rsid w:val="0033451A"/>
    <w:rsid w:val="003352E8"/>
    <w:rsid w:val="0033652D"/>
    <w:rsid w:val="003373EC"/>
    <w:rsid w:val="00341898"/>
    <w:rsid w:val="00341C7B"/>
    <w:rsid w:val="00345307"/>
    <w:rsid w:val="00345799"/>
    <w:rsid w:val="0035017B"/>
    <w:rsid w:val="00350806"/>
    <w:rsid w:val="00351486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462B"/>
    <w:rsid w:val="003949E9"/>
    <w:rsid w:val="0039580D"/>
    <w:rsid w:val="003959DB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E3C86"/>
    <w:rsid w:val="003F04FE"/>
    <w:rsid w:val="003F4FEB"/>
    <w:rsid w:val="003F59BB"/>
    <w:rsid w:val="00402039"/>
    <w:rsid w:val="0040280A"/>
    <w:rsid w:val="00402815"/>
    <w:rsid w:val="00405B48"/>
    <w:rsid w:val="004079BD"/>
    <w:rsid w:val="00410378"/>
    <w:rsid w:val="004128E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2AC9"/>
    <w:rsid w:val="00455B41"/>
    <w:rsid w:val="00462860"/>
    <w:rsid w:val="004629DB"/>
    <w:rsid w:val="00464F99"/>
    <w:rsid w:val="0046620E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3EB1"/>
    <w:rsid w:val="004C6129"/>
    <w:rsid w:val="004D2C00"/>
    <w:rsid w:val="004D486A"/>
    <w:rsid w:val="004D61AB"/>
    <w:rsid w:val="004F0155"/>
    <w:rsid w:val="004F365F"/>
    <w:rsid w:val="004F3E1E"/>
    <w:rsid w:val="00501158"/>
    <w:rsid w:val="00503110"/>
    <w:rsid w:val="0050327F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28F3"/>
    <w:rsid w:val="00573A82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126B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1C4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075"/>
    <w:rsid w:val="005D4110"/>
    <w:rsid w:val="005D440C"/>
    <w:rsid w:val="005D4FB4"/>
    <w:rsid w:val="005E0BC3"/>
    <w:rsid w:val="005E389D"/>
    <w:rsid w:val="005E3C81"/>
    <w:rsid w:val="005E3F4B"/>
    <w:rsid w:val="005F251F"/>
    <w:rsid w:val="005F7E55"/>
    <w:rsid w:val="00604677"/>
    <w:rsid w:val="00605D90"/>
    <w:rsid w:val="00606ACB"/>
    <w:rsid w:val="00623496"/>
    <w:rsid w:val="00624004"/>
    <w:rsid w:val="00625BD7"/>
    <w:rsid w:val="006301F6"/>
    <w:rsid w:val="00631F19"/>
    <w:rsid w:val="00634959"/>
    <w:rsid w:val="0063594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537E"/>
    <w:rsid w:val="00680377"/>
    <w:rsid w:val="00681D4F"/>
    <w:rsid w:val="00682631"/>
    <w:rsid w:val="00682992"/>
    <w:rsid w:val="00684FF3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256F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2639"/>
    <w:rsid w:val="007133D9"/>
    <w:rsid w:val="007135C0"/>
    <w:rsid w:val="0071385D"/>
    <w:rsid w:val="007147CE"/>
    <w:rsid w:val="007158B6"/>
    <w:rsid w:val="007165E2"/>
    <w:rsid w:val="007210D1"/>
    <w:rsid w:val="0072248F"/>
    <w:rsid w:val="0072667F"/>
    <w:rsid w:val="007339E3"/>
    <w:rsid w:val="00735AA4"/>
    <w:rsid w:val="00737374"/>
    <w:rsid w:val="00737DA5"/>
    <w:rsid w:val="007403E8"/>
    <w:rsid w:val="007427D9"/>
    <w:rsid w:val="007442CA"/>
    <w:rsid w:val="00744CC6"/>
    <w:rsid w:val="00747495"/>
    <w:rsid w:val="007508BA"/>
    <w:rsid w:val="0075348B"/>
    <w:rsid w:val="00753D28"/>
    <w:rsid w:val="00754A13"/>
    <w:rsid w:val="007613BC"/>
    <w:rsid w:val="00766E85"/>
    <w:rsid w:val="00770F3E"/>
    <w:rsid w:val="00771CCE"/>
    <w:rsid w:val="00772B78"/>
    <w:rsid w:val="00773B59"/>
    <w:rsid w:val="00774033"/>
    <w:rsid w:val="00781D9F"/>
    <w:rsid w:val="007915F5"/>
    <w:rsid w:val="00792E14"/>
    <w:rsid w:val="007934F2"/>
    <w:rsid w:val="007972B2"/>
    <w:rsid w:val="007A07A0"/>
    <w:rsid w:val="007A2067"/>
    <w:rsid w:val="007A30EC"/>
    <w:rsid w:val="007A402D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1EDB"/>
    <w:rsid w:val="007C24C7"/>
    <w:rsid w:val="007C2E12"/>
    <w:rsid w:val="007C3D49"/>
    <w:rsid w:val="007C42CD"/>
    <w:rsid w:val="007D2B07"/>
    <w:rsid w:val="007D407C"/>
    <w:rsid w:val="007D4465"/>
    <w:rsid w:val="007D60B1"/>
    <w:rsid w:val="007D7981"/>
    <w:rsid w:val="007E07F7"/>
    <w:rsid w:val="007F3891"/>
    <w:rsid w:val="007F4F12"/>
    <w:rsid w:val="007F5A89"/>
    <w:rsid w:val="00800464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0421"/>
    <w:rsid w:val="00843AC8"/>
    <w:rsid w:val="00844188"/>
    <w:rsid w:val="008457AE"/>
    <w:rsid w:val="00852DA1"/>
    <w:rsid w:val="0085528C"/>
    <w:rsid w:val="0086257D"/>
    <w:rsid w:val="00862FA4"/>
    <w:rsid w:val="00865B18"/>
    <w:rsid w:val="0087323F"/>
    <w:rsid w:val="008740A8"/>
    <w:rsid w:val="00875EB8"/>
    <w:rsid w:val="00876D89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EFE"/>
    <w:rsid w:val="008D108E"/>
    <w:rsid w:val="008E09E5"/>
    <w:rsid w:val="008E1392"/>
    <w:rsid w:val="008E3A63"/>
    <w:rsid w:val="008E5E4D"/>
    <w:rsid w:val="008E61EA"/>
    <w:rsid w:val="008F1711"/>
    <w:rsid w:val="008F24D5"/>
    <w:rsid w:val="008F30E9"/>
    <w:rsid w:val="008F31C6"/>
    <w:rsid w:val="008F425F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16EA6"/>
    <w:rsid w:val="00921D79"/>
    <w:rsid w:val="00933650"/>
    <w:rsid w:val="009361BB"/>
    <w:rsid w:val="00943576"/>
    <w:rsid w:val="00952CD2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2"/>
    <w:rsid w:val="009E35B9"/>
    <w:rsid w:val="009E3863"/>
    <w:rsid w:val="009E68E9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37B58"/>
    <w:rsid w:val="00A43189"/>
    <w:rsid w:val="00A4495B"/>
    <w:rsid w:val="00A4782C"/>
    <w:rsid w:val="00A5741F"/>
    <w:rsid w:val="00A62816"/>
    <w:rsid w:val="00A63FEA"/>
    <w:rsid w:val="00A65ED8"/>
    <w:rsid w:val="00A67182"/>
    <w:rsid w:val="00A6720D"/>
    <w:rsid w:val="00A7005C"/>
    <w:rsid w:val="00A70220"/>
    <w:rsid w:val="00A70BF8"/>
    <w:rsid w:val="00A71706"/>
    <w:rsid w:val="00A73127"/>
    <w:rsid w:val="00A7339A"/>
    <w:rsid w:val="00A758AD"/>
    <w:rsid w:val="00A76ADC"/>
    <w:rsid w:val="00A81A3C"/>
    <w:rsid w:val="00A81CC7"/>
    <w:rsid w:val="00A836C5"/>
    <w:rsid w:val="00A83D8C"/>
    <w:rsid w:val="00A844EC"/>
    <w:rsid w:val="00A862A3"/>
    <w:rsid w:val="00A90B64"/>
    <w:rsid w:val="00A91D93"/>
    <w:rsid w:val="00A952BB"/>
    <w:rsid w:val="00A975E7"/>
    <w:rsid w:val="00AA035E"/>
    <w:rsid w:val="00AA09F1"/>
    <w:rsid w:val="00AA1D40"/>
    <w:rsid w:val="00AA23A4"/>
    <w:rsid w:val="00AA2C5B"/>
    <w:rsid w:val="00AA7BD9"/>
    <w:rsid w:val="00AB177C"/>
    <w:rsid w:val="00AB1F6A"/>
    <w:rsid w:val="00AB26D2"/>
    <w:rsid w:val="00AB3C38"/>
    <w:rsid w:val="00AB49F5"/>
    <w:rsid w:val="00AB5020"/>
    <w:rsid w:val="00AB7C3D"/>
    <w:rsid w:val="00AC10CB"/>
    <w:rsid w:val="00AC32E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1BC"/>
    <w:rsid w:val="00AF63F0"/>
    <w:rsid w:val="00AF6D03"/>
    <w:rsid w:val="00AF7C57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6F96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D7D"/>
    <w:rsid w:val="00BE71D5"/>
    <w:rsid w:val="00BF677F"/>
    <w:rsid w:val="00BF7770"/>
    <w:rsid w:val="00C03666"/>
    <w:rsid w:val="00C040A1"/>
    <w:rsid w:val="00C04319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1BD8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B5D"/>
    <w:rsid w:val="00CA3F72"/>
    <w:rsid w:val="00CA6562"/>
    <w:rsid w:val="00CB06BC"/>
    <w:rsid w:val="00CB1425"/>
    <w:rsid w:val="00CB1ED9"/>
    <w:rsid w:val="00CB20E5"/>
    <w:rsid w:val="00CB399C"/>
    <w:rsid w:val="00CB45FC"/>
    <w:rsid w:val="00CB4DF9"/>
    <w:rsid w:val="00CB748D"/>
    <w:rsid w:val="00CC0A99"/>
    <w:rsid w:val="00CC31D8"/>
    <w:rsid w:val="00CC5865"/>
    <w:rsid w:val="00CD1EF3"/>
    <w:rsid w:val="00CD1F51"/>
    <w:rsid w:val="00CD2977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17E5"/>
    <w:rsid w:val="00D32E93"/>
    <w:rsid w:val="00D3552D"/>
    <w:rsid w:val="00D408E0"/>
    <w:rsid w:val="00D47372"/>
    <w:rsid w:val="00D5113B"/>
    <w:rsid w:val="00D55F82"/>
    <w:rsid w:val="00D577D1"/>
    <w:rsid w:val="00D70310"/>
    <w:rsid w:val="00D75F71"/>
    <w:rsid w:val="00D77FD9"/>
    <w:rsid w:val="00D84485"/>
    <w:rsid w:val="00D8646E"/>
    <w:rsid w:val="00D90E77"/>
    <w:rsid w:val="00D91DB8"/>
    <w:rsid w:val="00D93E16"/>
    <w:rsid w:val="00D93E71"/>
    <w:rsid w:val="00D945E4"/>
    <w:rsid w:val="00D95ABB"/>
    <w:rsid w:val="00D9744F"/>
    <w:rsid w:val="00DA30E1"/>
    <w:rsid w:val="00DA415D"/>
    <w:rsid w:val="00DA4A2F"/>
    <w:rsid w:val="00DA546A"/>
    <w:rsid w:val="00DA7D84"/>
    <w:rsid w:val="00DB1D3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40C8"/>
    <w:rsid w:val="00E1759E"/>
    <w:rsid w:val="00E229A6"/>
    <w:rsid w:val="00E2347B"/>
    <w:rsid w:val="00E24EE4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46"/>
    <w:rsid w:val="00ED442D"/>
    <w:rsid w:val="00EE2773"/>
    <w:rsid w:val="00EE32F7"/>
    <w:rsid w:val="00EE34CD"/>
    <w:rsid w:val="00EE58E7"/>
    <w:rsid w:val="00EF1376"/>
    <w:rsid w:val="00F051F5"/>
    <w:rsid w:val="00F06231"/>
    <w:rsid w:val="00F07701"/>
    <w:rsid w:val="00F0799B"/>
    <w:rsid w:val="00F1072D"/>
    <w:rsid w:val="00F10CDF"/>
    <w:rsid w:val="00F12526"/>
    <w:rsid w:val="00F14FE9"/>
    <w:rsid w:val="00F16165"/>
    <w:rsid w:val="00F16378"/>
    <w:rsid w:val="00F175AB"/>
    <w:rsid w:val="00F200A9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3D11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4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61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1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B8A7-5415-4D96-BEAC-E16CF042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14867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38</cp:revision>
  <cp:lastPrinted>2021-11-09T07:24:00Z</cp:lastPrinted>
  <dcterms:created xsi:type="dcterms:W3CDTF">2021-11-04T10:24:00Z</dcterms:created>
  <dcterms:modified xsi:type="dcterms:W3CDTF">2021-11-09T13:12:00Z</dcterms:modified>
</cp:coreProperties>
</file>