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4702"/>
        <w:gridCol w:w="259"/>
        <w:gridCol w:w="991"/>
        <w:gridCol w:w="259"/>
        <w:gridCol w:w="467"/>
        <w:gridCol w:w="686"/>
      </w:tblGrid>
      <w:tr w:rsidR="003A2B73" w:rsidRPr="00C8415A" w:rsidTr="00F558E9">
        <w:trPr>
          <w:trHeight w:val="30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58E9" w:rsidRPr="00C8415A" w:rsidRDefault="00F558E9" w:rsidP="00EF373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58E9" w:rsidRPr="00C8415A" w:rsidRDefault="00F558E9" w:rsidP="00EF3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B73" w:rsidRPr="00C8415A" w:rsidRDefault="003A2B73" w:rsidP="00EF3734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73" w:rsidRPr="00C8415A" w:rsidRDefault="003A2B73" w:rsidP="00EF3734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73" w:rsidRPr="00C8415A" w:rsidRDefault="003A2B73" w:rsidP="00EF3734">
            <w:pPr>
              <w:rPr>
                <w:sz w:val="20"/>
                <w:szCs w:val="20"/>
              </w:rPr>
            </w:pPr>
          </w:p>
        </w:tc>
      </w:tr>
      <w:tr w:rsidR="003A2B73" w:rsidRPr="00002E95" w:rsidTr="00F558E9">
        <w:trPr>
          <w:gridAfter w:val="2"/>
          <w:wAfter w:w="1153" w:type="dxa"/>
          <w:trHeight w:val="300"/>
        </w:trPr>
        <w:tc>
          <w:tcPr>
            <w:tcW w:w="7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73" w:rsidRPr="00002E95" w:rsidRDefault="003A2B73" w:rsidP="00002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B73" w:rsidRPr="00002E95" w:rsidRDefault="003A2B73" w:rsidP="00002E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558E9" w:rsidRDefault="00F558E9"/>
    <w:tbl>
      <w:tblPr>
        <w:tblW w:w="104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4650"/>
        <w:gridCol w:w="1250"/>
        <w:gridCol w:w="3326"/>
      </w:tblGrid>
      <w:tr w:rsidR="00F558E9" w:rsidRPr="00C8415A" w:rsidTr="00C361F4">
        <w:trPr>
          <w:trHeight w:val="600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F558E9" w:rsidRDefault="00F558E9" w:rsidP="00F558E9">
            <w:pPr>
              <w:jc w:val="center"/>
            </w:pPr>
            <w:r w:rsidRPr="00002E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PARAMETRY ANALIZATORA DO IDENTYFIKACJI BAKTERII I GRZYBÓW OPARTEGO NA METODZIE SPEKTOMETRII </w:t>
            </w:r>
            <w:proofErr w:type="gramStart"/>
            <w:r w:rsidRPr="00002E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MAS    </w:t>
            </w:r>
            <w:r w:rsidRPr="00F558E9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- dotyczy</w:t>
            </w:r>
            <w:proofErr w:type="gramEnd"/>
            <w:r w:rsidRPr="00F558E9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 zadania nr 2</w:t>
            </w:r>
          </w:p>
          <w:p w:rsidR="00F558E9" w:rsidRPr="00C8415A" w:rsidRDefault="00F558E9" w:rsidP="003E5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8E9" w:rsidRPr="00C8415A" w:rsidTr="00F558E9">
        <w:trPr>
          <w:trHeight w:val="720"/>
        </w:trPr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E9" w:rsidRPr="00C8415A" w:rsidRDefault="00F558E9" w:rsidP="003E5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15A">
              <w:rPr>
                <w:rFonts w:ascii="Arial" w:hAnsi="Arial" w:cs="Arial"/>
                <w:sz w:val="16"/>
                <w:szCs w:val="16"/>
              </w:rPr>
              <w:t>Parametry oceniane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E9" w:rsidRPr="00C8415A" w:rsidRDefault="00F558E9" w:rsidP="003E58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58E9">
              <w:rPr>
                <w:rFonts w:ascii="Arial" w:hAnsi="Arial" w:cs="Arial"/>
                <w:color w:val="000000"/>
                <w:sz w:val="16"/>
                <w:szCs w:val="16"/>
              </w:rPr>
              <w:t>Punktacja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E9" w:rsidRDefault="00F558E9" w:rsidP="003E58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558E9" w:rsidRPr="00C8415A" w:rsidRDefault="00F558E9" w:rsidP="003E58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Tak/Nie</w:t>
            </w:r>
          </w:p>
        </w:tc>
      </w:tr>
      <w:tr w:rsidR="00F558E9" w:rsidRPr="00C8415A" w:rsidTr="00F558E9">
        <w:trPr>
          <w:trHeight w:val="9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E9" w:rsidRPr="00C8415A" w:rsidRDefault="00F558E9" w:rsidP="003E5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1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E9" w:rsidRPr="00C8415A" w:rsidRDefault="00F558E9" w:rsidP="003E58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 xml:space="preserve">Wydłużenie czasu inkubacji dla drobnoustrojów </w:t>
            </w:r>
            <w:proofErr w:type="spellStart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wolnorosnących</w:t>
            </w:r>
            <w:proofErr w:type="spellEnd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 xml:space="preserve"> do 48 </w:t>
            </w:r>
            <w:proofErr w:type="gramStart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h  oraz</w:t>
            </w:r>
            <w:proofErr w:type="gramEnd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 xml:space="preserve"> dla niektórych leków np.. Wankomycyna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E9" w:rsidRPr="00C8415A" w:rsidRDefault="00F558E9" w:rsidP="003E58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 xml:space="preserve">Tak -10 pkt. </w:t>
            </w: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br/>
              <w:t>Nie- 0 pkt.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E9" w:rsidRPr="00C8415A" w:rsidRDefault="00F558E9" w:rsidP="003E58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58E9" w:rsidRPr="00C8415A" w:rsidTr="00F558E9">
        <w:trPr>
          <w:trHeight w:val="6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E9" w:rsidRPr="00C8415A" w:rsidRDefault="00F558E9" w:rsidP="003E5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1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E9" w:rsidRPr="00C8415A" w:rsidRDefault="00F558E9" w:rsidP="003E58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 xml:space="preserve">Możliwość wizualnej oceny </w:t>
            </w:r>
            <w:proofErr w:type="spellStart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wzorostu</w:t>
            </w:r>
            <w:proofErr w:type="spellEnd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 xml:space="preserve"> bakterii w panelu i zmiany wyniku ID oraz AST w razie konieczności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E9" w:rsidRPr="00C8415A" w:rsidRDefault="00F558E9" w:rsidP="003E58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 xml:space="preserve">Tak -10 pkt. </w:t>
            </w: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  <w:t>Nie- 0 pkt.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E9" w:rsidRPr="00C8415A" w:rsidRDefault="00F558E9" w:rsidP="003E58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58E9" w:rsidRPr="00C8415A" w:rsidTr="00F558E9">
        <w:trPr>
          <w:trHeight w:val="13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E9" w:rsidRPr="00C8415A" w:rsidRDefault="00F558E9" w:rsidP="003E5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1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E9" w:rsidRPr="00C8415A" w:rsidRDefault="00F558E9" w:rsidP="003E58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 xml:space="preserve">Panele do określania </w:t>
            </w:r>
            <w:proofErr w:type="spellStart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lekowrażliwości</w:t>
            </w:r>
            <w:proofErr w:type="spellEnd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 xml:space="preserve"> dla ziarniaków gram dodatnich z </w:t>
            </w:r>
            <w:proofErr w:type="spellStart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conajmniej</w:t>
            </w:r>
            <w:proofErr w:type="spellEnd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 xml:space="preserve"> 7 rozcieńczeniami dla </w:t>
            </w:r>
            <w:proofErr w:type="spellStart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Vankomycyny</w:t>
            </w:r>
            <w:proofErr w:type="spellEnd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 xml:space="preserve">(0.25-16)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E9" w:rsidRPr="00C8415A" w:rsidRDefault="00F558E9" w:rsidP="003E58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 xml:space="preserve">Tak -10 pkt. </w:t>
            </w: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br/>
              <w:t>Nie- 0 pkt.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E9" w:rsidRPr="00C8415A" w:rsidRDefault="00F558E9" w:rsidP="003E58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58E9" w:rsidRPr="00C8415A" w:rsidTr="00F558E9">
        <w:trPr>
          <w:trHeight w:val="18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E9" w:rsidRPr="00C8415A" w:rsidRDefault="00F558E9" w:rsidP="003E5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1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E9" w:rsidRPr="00C8415A" w:rsidRDefault="00F558E9" w:rsidP="003E58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 xml:space="preserve">Automatyczny system do oceny </w:t>
            </w:r>
            <w:proofErr w:type="spellStart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lekowrażliwości</w:t>
            </w:r>
            <w:proofErr w:type="spellEnd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dorbnoustrojów</w:t>
            </w:r>
            <w:proofErr w:type="spellEnd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 xml:space="preserve"> w oparciu o dwie metody identyfikacji -kolorymetryczną oraz </w:t>
            </w:r>
            <w:proofErr w:type="spellStart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fluorometryczną</w:t>
            </w:r>
            <w:proofErr w:type="spellEnd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 xml:space="preserve"> łączący możliwość wykonania identyfikacji w oparciu o "złoty standard" oraz szybkiej identyfikacji drobnoustrojów bez użycia dodatkowych odczynników </w:t>
            </w:r>
            <w:proofErr w:type="spellStart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wywołujacych</w:t>
            </w:r>
            <w:proofErr w:type="spellEnd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 xml:space="preserve"> reakcje barwne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E9" w:rsidRPr="00C8415A" w:rsidRDefault="00F558E9" w:rsidP="003E58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 xml:space="preserve">Tak -10 pkt. </w:t>
            </w: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br/>
              <w:t>Nie- 0 pkt.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E9" w:rsidRPr="00C8415A" w:rsidRDefault="00F558E9" w:rsidP="003E58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58E9" w:rsidRPr="00C8415A" w:rsidTr="00F558E9">
        <w:trPr>
          <w:trHeight w:val="109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E9" w:rsidRPr="00C8415A" w:rsidRDefault="00F558E9" w:rsidP="003E5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1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E9" w:rsidRPr="00C8415A" w:rsidRDefault="00F558E9" w:rsidP="003E58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Możliwość  przygotowania</w:t>
            </w:r>
            <w:proofErr w:type="gramEnd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 xml:space="preserve">   wystandaryzowanej  zawiesiny  bakteryjnej 0,5 </w:t>
            </w:r>
            <w:proofErr w:type="spellStart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McFarlanda</w:t>
            </w:r>
            <w:proofErr w:type="spellEnd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 xml:space="preserve">  (bez konieczności weryfikacji przy użyciu densytometru)  za pomocą  specjalnej  wykalibrowanej kapilary </w:t>
            </w:r>
            <w:proofErr w:type="spellStart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inokulacyjnej</w:t>
            </w:r>
            <w:proofErr w:type="spellEnd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 xml:space="preserve"> (zmniejszenie ryzyka pobrania mieszaniny kolonii bakteryjnych) oraz przy użyciu  standardowej metody </w:t>
            </w:r>
            <w:proofErr w:type="spellStart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turbidymetrycznej</w:t>
            </w:r>
            <w:proofErr w:type="spellEnd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) Stabilność zawiesiny co najmniej 4 h ( tzw. one-</w:t>
            </w:r>
            <w:proofErr w:type="spellStart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tuch</w:t>
            </w:r>
            <w:proofErr w:type="spellEnd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prosess</w:t>
            </w:r>
            <w:proofErr w:type="spellEnd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E9" w:rsidRPr="00C8415A" w:rsidRDefault="00F558E9" w:rsidP="003E58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 xml:space="preserve">Tak -10 pkt. </w:t>
            </w: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br/>
              <w:t>Nie- 0 pkt.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E9" w:rsidRPr="00C8415A" w:rsidRDefault="00F558E9" w:rsidP="003E58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58E9" w:rsidRPr="00C8415A" w:rsidTr="009C01AC">
        <w:trPr>
          <w:trHeight w:val="67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E9" w:rsidRPr="00C8415A" w:rsidRDefault="00F558E9" w:rsidP="003E5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1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E9" w:rsidRPr="00C8415A" w:rsidRDefault="00F558E9" w:rsidP="003E58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Baza  CE-IVD</w:t>
            </w:r>
            <w:proofErr w:type="gramEnd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 xml:space="preserve">  identyfikowanych drobnoustrojów  obejmująca określoną ilość  gatunków  mikroorganizmów o znaczeniu  klinicznym oraz  środowiskowym.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8E9" w:rsidRPr="00C8415A" w:rsidRDefault="00F558E9" w:rsidP="003E58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 xml:space="preserve">do 2800 gat. - 0 </w:t>
            </w:r>
            <w:proofErr w:type="gramStart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 xml:space="preserve">pkt.                                                 </w:t>
            </w:r>
            <w:proofErr w:type="gramEnd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</w:t>
            </w: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Powyżej 2800 gat. -10 pkt.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E9" w:rsidRPr="00C8415A" w:rsidRDefault="00F558E9" w:rsidP="003E58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558E9" w:rsidRDefault="00F558E9" w:rsidP="00F558E9"/>
    <w:p w:rsidR="00F558E9" w:rsidRDefault="00F558E9" w:rsidP="00F558E9"/>
    <w:p w:rsidR="00F558E9" w:rsidRDefault="00F558E9" w:rsidP="00F558E9"/>
    <w:p w:rsidR="00F558E9" w:rsidRDefault="00F558E9" w:rsidP="00F558E9"/>
    <w:p w:rsidR="00F558E9" w:rsidRDefault="00F558E9" w:rsidP="00F558E9"/>
    <w:p w:rsidR="00F558E9" w:rsidRDefault="00F558E9" w:rsidP="00F558E9"/>
    <w:p w:rsidR="00F558E9" w:rsidRDefault="00F558E9" w:rsidP="00F558E9"/>
    <w:p w:rsidR="00F558E9" w:rsidRDefault="00F558E9" w:rsidP="00F558E9"/>
    <w:p w:rsidR="00F558E9" w:rsidRDefault="00F558E9" w:rsidP="00F558E9"/>
    <w:p w:rsidR="00F558E9" w:rsidRDefault="00F558E9" w:rsidP="00F558E9"/>
    <w:p w:rsidR="00F558E9" w:rsidRDefault="00F558E9" w:rsidP="00F558E9"/>
    <w:p w:rsidR="00F558E9" w:rsidRDefault="00F558E9" w:rsidP="00F558E9"/>
    <w:p w:rsidR="00F558E9" w:rsidRDefault="00F558E9" w:rsidP="00F558E9"/>
    <w:p w:rsidR="00F558E9" w:rsidRDefault="00F558E9" w:rsidP="00F558E9"/>
    <w:p w:rsidR="00F558E9" w:rsidRDefault="00F558E9" w:rsidP="00F558E9"/>
    <w:p w:rsidR="00552555" w:rsidRDefault="00552555" w:rsidP="00F558E9"/>
    <w:p w:rsidR="00552555" w:rsidRDefault="00552555" w:rsidP="00F558E9"/>
    <w:p w:rsidR="00F558E9" w:rsidRDefault="00382DCF" w:rsidP="00382DCF">
      <w:pPr>
        <w:tabs>
          <w:tab w:val="left" w:pos="6120"/>
        </w:tabs>
      </w:pPr>
      <w:r>
        <w:tab/>
      </w:r>
    </w:p>
    <w:tbl>
      <w:tblPr>
        <w:tblW w:w="104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4792"/>
        <w:gridCol w:w="2825"/>
        <w:gridCol w:w="1609"/>
      </w:tblGrid>
      <w:tr w:rsidR="00F558E9" w:rsidRPr="00002E95" w:rsidTr="00F558E9">
        <w:trPr>
          <w:trHeight w:val="300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E9" w:rsidRDefault="00F558E9" w:rsidP="00C361F4">
            <w:pPr>
              <w:shd w:val="clear" w:color="auto" w:fill="EAF1DD" w:themeFill="accent3" w:themeFillTint="33"/>
              <w:jc w:val="center"/>
              <w:rPr>
                <w:b/>
                <w:bCs/>
                <w:sz w:val="22"/>
                <w:szCs w:val="22"/>
              </w:rPr>
            </w:pPr>
            <w:r w:rsidRPr="00C361F4">
              <w:rPr>
                <w:b/>
                <w:bCs/>
                <w:sz w:val="22"/>
                <w:szCs w:val="22"/>
                <w:shd w:val="clear" w:color="auto" w:fill="EAF1DD" w:themeFill="accent3" w:themeFillTint="33"/>
              </w:rPr>
              <w:t>PARAMETRY SYSTEMU DO WYKRYWANIA DROBNOUSTROJÓW Z KRWI I PŁYNÓW</w:t>
            </w:r>
            <w:r w:rsidRPr="00002E95">
              <w:rPr>
                <w:b/>
                <w:bCs/>
                <w:sz w:val="22"/>
                <w:szCs w:val="22"/>
              </w:rPr>
              <w:t xml:space="preserve"> USTROJOWYCH </w:t>
            </w:r>
            <w:r w:rsidRPr="00F558E9">
              <w:rPr>
                <w:b/>
                <w:bCs/>
                <w:color w:val="0070C0"/>
                <w:sz w:val="22"/>
                <w:szCs w:val="22"/>
              </w:rPr>
              <w:t>– dotyczy zadania nr 3</w:t>
            </w:r>
          </w:p>
          <w:p w:rsidR="00F558E9" w:rsidRPr="00002E95" w:rsidRDefault="00F558E9" w:rsidP="00C361F4">
            <w:pPr>
              <w:shd w:val="clear" w:color="auto" w:fill="EAF1DD" w:themeFill="accent3" w:themeFillTint="3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558E9" w:rsidRPr="00C8415A" w:rsidTr="00F558E9">
        <w:trPr>
          <w:trHeight w:val="810"/>
        </w:trPr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E9" w:rsidRPr="00C8415A" w:rsidRDefault="00F558E9" w:rsidP="003E58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Parametry oceniane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E9" w:rsidRDefault="00F558E9" w:rsidP="003E58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558E9" w:rsidRDefault="00F558E9" w:rsidP="003E58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558E9" w:rsidRPr="00C8415A" w:rsidRDefault="00F558E9" w:rsidP="003E58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Punktacja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E9" w:rsidRPr="00C8415A" w:rsidRDefault="00F558E9" w:rsidP="003E58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Tak/Nie</w:t>
            </w:r>
          </w:p>
        </w:tc>
      </w:tr>
      <w:tr w:rsidR="00F558E9" w:rsidRPr="00C8415A" w:rsidTr="00F558E9">
        <w:trPr>
          <w:trHeight w:val="73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E9" w:rsidRPr="00C8415A" w:rsidRDefault="00F558E9" w:rsidP="003E58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8E9" w:rsidRPr="00C8415A" w:rsidRDefault="00F558E9" w:rsidP="003E58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Mozliwość</w:t>
            </w:r>
            <w:proofErr w:type="spellEnd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 xml:space="preserve"> hodowli drobnoustrojów z płynów ustrojowych we wszystkich oferowanych podłożach (potwierdzona w instrukcji użytkownika </w:t>
            </w:r>
            <w:proofErr w:type="spellStart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podłozy</w:t>
            </w:r>
            <w:proofErr w:type="spellEnd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8E9" w:rsidRPr="00C8415A" w:rsidRDefault="00F558E9" w:rsidP="003E58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TAK- 5 pkt. NIE-0 pkt.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E9" w:rsidRPr="00C8415A" w:rsidRDefault="00F558E9" w:rsidP="003E58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558E9" w:rsidRPr="00C8415A" w:rsidTr="00F558E9">
        <w:trPr>
          <w:trHeight w:val="9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E9" w:rsidRPr="00C8415A" w:rsidRDefault="00F558E9" w:rsidP="003E58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8E9" w:rsidRPr="00C8415A" w:rsidRDefault="00F558E9" w:rsidP="003E58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Wbudowany komputer z oprogramowaniem w wersji graficznej (min. Rejestracja i wprowadzenie prób, podgląd prób, tworzenie zestawień i ich wydruk, podgląd wykresu próby w trakcie wzrostu).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8E9" w:rsidRPr="00C8415A" w:rsidRDefault="00F558E9" w:rsidP="003E58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TAK-5 pkt. NIE-0 pkt.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E9" w:rsidRPr="00C8415A" w:rsidRDefault="00F558E9" w:rsidP="003E58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558E9" w:rsidRPr="00C8415A" w:rsidTr="00F558E9">
        <w:trPr>
          <w:trHeight w:val="72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E9" w:rsidRPr="00C8415A" w:rsidRDefault="00F558E9" w:rsidP="003E58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8E9" w:rsidRPr="00C8415A" w:rsidRDefault="00F558E9" w:rsidP="003E58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Przegladanie</w:t>
            </w:r>
            <w:proofErr w:type="spellEnd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 xml:space="preserve"> i drukowanie danych dla poszczególnych prób (wydruk musi zawierać min. Imię i nazwisko pacjenta, identyfikator szpitala, identyfikator butelki i komory, typ butelki, data/godzina włożenia, </w:t>
            </w:r>
            <w:proofErr w:type="spellStart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wyjecia</w:t>
            </w:r>
            <w:proofErr w:type="spellEnd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 xml:space="preserve"> i ostatniego odczytu w aparacie, wynik testu)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8E9" w:rsidRPr="00C8415A" w:rsidRDefault="00F558E9" w:rsidP="003E58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TAK-5 pkt. NIE-0 pkt.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E9" w:rsidRPr="00C8415A" w:rsidRDefault="00F558E9" w:rsidP="003E58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558E9" w:rsidRPr="00C8415A" w:rsidTr="00F558E9">
        <w:trPr>
          <w:trHeight w:val="54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E9" w:rsidRPr="00C8415A" w:rsidRDefault="00F558E9" w:rsidP="003E58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8E9" w:rsidRPr="00C8415A" w:rsidRDefault="00F558E9" w:rsidP="003E58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Podłoża hodowlane stanowią jednocześnie podłoża transportowe. Nie ma konieczności stosowania dodatkowych podłoży transportowych.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8E9" w:rsidRPr="00C8415A" w:rsidRDefault="00F558E9" w:rsidP="003E58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TAK-5 pkt. NIE-0 pkt.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E9" w:rsidRPr="00C8415A" w:rsidRDefault="00F558E9" w:rsidP="003E58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558E9" w:rsidRPr="00C8415A" w:rsidTr="00F558E9">
        <w:trPr>
          <w:trHeight w:val="630"/>
        </w:trPr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E9" w:rsidRPr="00C8415A" w:rsidRDefault="00F558E9" w:rsidP="003E58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8E9" w:rsidRPr="00C8415A" w:rsidRDefault="00F558E9" w:rsidP="003E58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Mozliwośćdokonywania</w:t>
            </w:r>
            <w:proofErr w:type="spellEnd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 xml:space="preserve"> zmian czasu inkubacji: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8E9" w:rsidRPr="00C8415A" w:rsidRDefault="00F558E9" w:rsidP="003E58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TAK-5 pkt. NIE-0 pkt.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E9" w:rsidRPr="00C8415A" w:rsidRDefault="00F558E9" w:rsidP="003E58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558E9" w:rsidRPr="00C8415A" w:rsidTr="00F558E9">
        <w:trPr>
          <w:trHeight w:val="465"/>
        </w:trPr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8E9" w:rsidRPr="00C8415A" w:rsidRDefault="00F558E9" w:rsidP="003E58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8E9" w:rsidRPr="00C8415A" w:rsidRDefault="00F558E9" w:rsidP="003E58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proofErr w:type="gramEnd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) dla rodzaju stosowanych podłóż (np.. Wszystkie butelki pediatryczne inkubowane 5 dni, pozostałe 7 dni)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8E9" w:rsidRPr="00C8415A" w:rsidRDefault="00F558E9" w:rsidP="003E58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TAK-5 pkt. NIE-0 pkt.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E9" w:rsidRPr="00C8415A" w:rsidRDefault="00F558E9" w:rsidP="003E58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558E9" w:rsidRPr="00C8415A" w:rsidTr="00F558E9">
        <w:trPr>
          <w:trHeight w:val="300"/>
        </w:trPr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8E9" w:rsidRPr="00C8415A" w:rsidRDefault="00F558E9" w:rsidP="003E58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E9" w:rsidRPr="00C8415A" w:rsidRDefault="00F558E9" w:rsidP="003E58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proofErr w:type="gramEnd"/>
            <w:r w:rsidRPr="00C8415A">
              <w:rPr>
                <w:rFonts w:ascii="Arial" w:hAnsi="Arial" w:cs="Arial"/>
                <w:color w:val="000000"/>
                <w:sz w:val="16"/>
                <w:szCs w:val="16"/>
              </w:rPr>
              <w:t>) dla pojedynczej próbki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8E9" w:rsidRPr="00C8415A" w:rsidRDefault="00F558E9" w:rsidP="003E58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58E9">
              <w:rPr>
                <w:rFonts w:ascii="Arial" w:hAnsi="Arial" w:cs="Arial"/>
                <w:color w:val="000000"/>
                <w:sz w:val="16"/>
                <w:szCs w:val="16"/>
              </w:rPr>
              <w:t>TAK-10 pkt. NIE-0 pkt.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E9" w:rsidRPr="00C8415A" w:rsidRDefault="00F558E9" w:rsidP="003E5831">
            <w:pPr>
              <w:rPr>
                <w:sz w:val="20"/>
                <w:szCs w:val="20"/>
              </w:rPr>
            </w:pPr>
          </w:p>
        </w:tc>
      </w:tr>
    </w:tbl>
    <w:p w:rsidR="00F558E9" w:rsidRDefault="00F558E9" w:rsidP="00F558E9"/>
    <w:p w:rsidR="00F558E9" w:rsidRDefault="00F558E9"/>
    <w:sectPr w:rsidR="00F558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95" w:rsidRDefault="00002E95" w:rsidP="00002E95">
      <w:r>
        <w:separator/>
      </w:r>
    </w:p>
  </w:endnote>
  <w:endnote w:type="continuationSeparator" w:id="0">
    <w:p w:rsidR="00002E95" w:rsidRDefault="00002E95" w:rsidP="0000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95" w:rsidRDefault="00002E95" w:rsidP="00002E95">
      <w:r>
        <w:separator/>
      </w:r>
    </w:p>
  </w:footnote>
  <w:footnote w:type="continuationSeparator" w:id="0">
    <w:p w:rsidR="00002E95" w:rsidRDefault="00002E95" w:rsidP="00002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A4" w:rsidRPr="00C86FA4" w:rsidRDefault="00C86FA4" w:rsidP="00C86FA4">
    <w:pPr>
      <w:pStyle w:val="Nagwek"/>
      <w:rPr>
        <w:b/>
      </w:rPr>
    </w:pPr>
    <w:r w:rsidRPr="00C86FA4">
      <w:rPr>
        <w:b/>
      </w:rPr>
      <w:t xml:space="preserve">Znak sprawy: </w:t>
    </w:r>
    <w:proofErr w:type="gramStart"/>
    <w:r w:rsidRPr="00C86FA4">
      <w:rPr>
        <w:b/>
      </w:rPr>
      <w:t xml:space="preserve">ZP/220/63/21 </w:t>
    </w:r>
    <w:r>
      <w:rPr>
        <w:b/>
      </w:rPr>
      <w:t xml:space="preserve">                                       </w:t>
    </w:r>
    <w:proofErr w:type="gramEnd"/>
    <w:r>
      <w:rPr>
        <w:b/>
      </w:rPr>
      <w:t xml:space="preserve">            Załącznik nr </w:t>
    </w:r>
    <w:r w:rsidR="001B6B4F">
      <w:rPr>
        <w:b/>
      </w:rPr>
      <w:t>8</w:t>
    </w:r>
    <w:r>
      <w:rPr>
        <w:b/>
      </w:rPr>
      <w:t xml:space="preserve"> do OFERTY                        </w:t>
    </w:r>
  </w:p>
  <w:p w:rsidR="003A2B73" w:rsidRDefault="003A2B73" w:rsidP="00002E95">
    <w:pPr>
      <w:pStyle w:val="Nagwek"/>
      <w:jc w:val="center"/>
      <w:rPr>
        <w:b/>
        <w:highlight w:val="yellow"/>
      </w:rPr>
    </w:pPr>
  </w:p>
  <w:p w:rsidR="00002E95" w:rsidRDefault="00002E95" w:rsidP="00002E95">
    <w:pPr>
      <w:pStyle w:val="Nagwek"/>
      <w:jc w:val="center"/>
      <w:rPr>
        <w:b/>
      </w:rPr>
    </w:pPr>
    <w:r w:rsidRPr="00002E95">
      <w:rPr>
        <w:b/>
        <w:highlight w:val="yellow"/>
      </w:rPr>
      <w:t>Parametry oceniane</w:t>
    </w:r>
  </w:p>
  <w:p w:rsidR="003D40F9" w:rsidRPr="00002E95" w:rsidRDefault="003D40F9" w:rsidP="00002E95">
    <w:pPr>
      <w:pStyle w:val="Nagwek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8E"/>
    <w:rsid w:val="00002E95"/>
    <w:rsid w:val="001B2D8E"/>
    <w:rsid w:val="001B6B4F"/>
    <w:rsid w:val="00382DCF"/>
    <w:rsid w:val="003A2B73"/>
    <w:rsid w:val="003D40F9"/>
    <w:rsid w:val="004B50DF"/>
    <w:rsid w:val="00552555"/>
    <w:rsid w:val="00677D7C"/>
    <w:rsid w:val="00C12C1E"/>
    <w:rsid w:val="00C361F4"/>
    <w:rsid w:val="00C43325"/>
    <w:rsid w:val="00C86FA4"/>
    <w:rsid w:val="00DA2F47"/>
    <w:rsid w:val="00F5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2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E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2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E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wsybal</dc:creator>
  <cp:lastModifiedBy>wsybal</cp:lastModifiedBy>
  <cp:revision>13</cp:revision>
  <dcterms:created xsi:type="dcterms:W3CDTF">2021-11-17T15:00:00Z</dcterms:created>
  <dcterms:modified xsi:type="dcterms:W3CDTF">2021-11-18T12:27:00Z</dcterms:modified>
</cp:coreProperties>
</file>