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77777777" w:rsidR="00A617FB" w:rsidRDefault="00A617FB" w:rsidP="00441B46">
      <w:pPr>
        <w:spacing w:line="276" w:lineRule="auto"/>
        <w:ind w:right="-1" w:firstLine="540"/>
        <w:rPr>
          <w:b/>
          <w:sz w:val="22"/>
          <w:szCs w:val="22"/>
        </w:rPr>
      </w:pPr>
    </w:p>
    <w:p w14:paraId="4341CA6E" w14:textId="51487555" w:rsidR="00E67330" w:rsidRDefault="00AD71F9" w:rsidP="00441B46">
      <w:pPr>
        <w:spacing w:line="276" w:lineRule="auto"/>
        <w:ind w:right="-1" w:firstLine="540"/>
        <w:rPr>
          <w:b/>
          <w:sz w:val="22"/>
          <w:szCs w:val="22"/>
        </w:rPr>
      </w:pPr>
      <w:r w:rsidRPr="0051712F">
        <w:rPr>
          <w:noProof/>
          <w:sz w:val="22"/>
          <w:szCs w:val="22"/>
        </w:rPr>
        <w:drawing>
          <wp:inline distT="0" distB="0" distL="0" distR="0" wp14:anchorId="63CA25E1" wp14:editId="5D1C0712">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2D19FBEB" w:rsidR="00BF5B75" w:rsidRDefault="00BF5B75" w:rsidP="004B1778">
      <w:pPr>
        <w:spacing w:line="276" w:lineRule="auto"/>
        <w:jc w:val="center"/>
        <w:rPr>
          <w:rFonts w:asciiTheme="majorHAnsi" w:hAnsiTheme="majorHAnsi"/>
          <w:sz w:val="22"/>
          <w:szCs w:val="22"/>
        </w:rPr>
      </w:pPr>
      <w:r w:rsidRPr="00DA258E">
        <w:rPr>
          <w:rFonts w:asciiTheme="majorHAnsi" w:hAnsiTheme="majorHAnsi"/>
          <w:sz w:val="22"/>
          <w:szCs w:val="22"/>
        </w:rPr>
        <w:t xml:space="preserve">Zaprasza do złożenia oferty w </w:t>
      </w:r>
      <w:r w:rsidR="00AC68AC">
        <w:rPr>
          <w:rFonts w:asciiTheme="majorHAnsi" w:hAnsiTheme="majorHAnsi"/>
          <w:sz w:val="22"/>
          <w:szCs w:val="22"/>
        </w:rPr>
        <w:t>postępowan</w:t>
      </w:r>
      <w:r w:rsidR="00CD63D0">
        <w:rPr>
          <w:rFonts w:asciiTheme="majorHAnsi" w:hAnsiTheme="majorHAnsi"/>
          <w:sz w:val="22"/>
          <w:szCs w:val="22"/>
        </w:rPr>
        <w:t xml:space="preserve">iu prowadzonym w trybie art. 275 ust. 1 w związku z art. 359 ust. 2  </w:t>
      </w:r>
      <w:r w:rsidR="006204E8" w:rsidRPr="00DA258E">
        <w:rPr>
          <w:rFonts w:asciiTheme="majorHAnsi" w:hAnsiTheme="majorHAnsi"/>
          <w:sz w:val="22"/>
          <w:szCs w:val="22"/>
        </w:rPr>
        <w:t>ustawy z 11 września 2019 r. - Prawo zamówień publicznych (Dz. U. z 20</w:t>
      </w:r>
      <w:r w:rsidR="00AD71F9">
        <w:rPr>
          <w:rFonts w:asciiTheme="majorHAnsi" w:hAnsiTheme="majorHAnsi"/>
          <w:sz w:val="22"/>
          <w:szCs w:val="22"/>
        </w:rPr>
        <w:t>21</w:t>
      </w:r>
      <w:r w:rsidR="006204E8" w:rsidRPr="00DA258E">
        <w:rPr>
          <w:rFonts w:asciiTheme="majorHAnsi" w:hAnsiTheme="majorHAnsi"/>
          <w:sz w:val="22"/>
          <w:szCs w:val="22"/>
        </w:rPr>
        <w:t xml:space="preserve"> r. poz. </w:t>
      </w:r>
      <w:r w:rsidR="00AD71F9">
        <w:rPr>
          <w:rFonts w:asciiTheme="majorHAnsi" w:hAnsiTheme="majorHAnsi"/>
          <w:sz w:val="22"/>
          <w:szCs w:val="22"/>
        </w:rPr>
        <w:t>1710</w:t>
      </w:r>
      <w:r w:rsidR="006204E8" w:rsidRPr="00DA258E">
        <w:rPr>
          <w:rFonts w:asciiTheme="majorHAnsi" w:hAnsiTheme="majorHAnsi"/>
          <w:sz w:val="22"/>
          <w:szCs w:val="22"/>
        </w:rPr>
        <w:t xml:space="preserve">) – dalej </w:t>
      </w:r>
      <w:r w:rsidR="00A93CE0" w:rsidRPr="00DA258E">
        <w:rPr>
          <w:rFonts w:asciiTheme="majorHAnsi" w:hAnsiTheme="majorHAnsi"/>
          <w:sz w:val="22"/>
          <w:szCs w:val="22"/>
        </w:rPr>
        <w:t>Pzp</w:t>
      </w:r>
      <w:r w:rsidR="003528D4" w:rsidRPr="00DA258E">
        <w:rPr>
          <w:rFonts w:asciiTheme="majorHAnsi" w:hAnsiTheme="majorHAnsi"/>
          <w:sz w:val="22"/>
          <w:szCs w:val="22"/>
        </w:rPr>
        <w:t xml:space="preserve"> </w:t>
      </w:r>
      <w:r w:rsidR="00A93CE0" w:rsidRPr="00DA258E">
        <w:rPr>
          <w:rFonts w:asciiTheme="majorHAnsi" w:hAnsiTheme="majorHAnsi"/>
          <w:sz w:val="22"/>
          <w:szCs w:val="22"/>
        </w:rPr>
        <w:t>n</w:t>
      </w:r>
      <w:r w:rsidR="00C92942" w:rsidRPr="00DA258E">
        <w:rPr>
          <w:rFonts w:asciiTheme="majorHAnsi" w:hAnsiTheme="majorHAnsi"/>
          <w:sz w:val="22"/>
          <w:szCs w:val="22"/>
        </w:rPr>
        <w:t>a</w:t>
      </w:r>
      <w:r w:rsidR="00A93CE0" w:rsidRPr="00DA258E">
        <w:rPr>
          <w:rFonts w:asciiTheme="majorHAnsi" w:hAnsiTheme="majorHAnsi"/>
          <w:sz w:val="22"/>
          <w:szCs w:val="22"/>
        </w:rPr>
        <w:t xml:space="preserve"> </w:t>
      </w:r>
      <w:r w:rsidR="008F18F5" w:rsidRPr="00DA258E">
        <w:rPr>
          <w:rFonts w:asciiTheme="majorHAnsi" w:hAnsiTheme="majorHAnsi"/>
          <w:sz w:val="22"/>
          <w:szCs w:val="22"/>
        </w:rPr>
        <w:t>usługę</w:t>
      </w:r>
      <w:r w:rsidR="006204E8" w:rsidRPr="00DA258E">
        <w:rPr>
          <w:rFonts w:asciiTheme="majorHAnsi" w:hAnsiTheme="majorHAnsi"/>
          <w:sz w:val="22"/>
          <w:szCs w:val="22"/>
        </w:rPr>
        <w:t xml:space="preserve"> </w:t>
      </w:r>
      <w:r w:rsidR="00570717" w:rsidRPr="00DA258E">
        <w:rPr>
          <w:rFonts w:asciiTheme="majorHAnsi" w:hAnsiTheme="majorHAnsi"/>
          <w:sz w:val="22"/>
          <w:szCs w:val="22"/>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0B662974" w14:textId="77777777" w:rsidR="00AD71F9" w:rsidRPr="00E67330" w:rsidRDefault="00AD71F9" w:rsidP="00AD71F9">
      <w:pPr>
        <w:pStyle w:val="Tekstpodstawowy"/>
        <w:spacing w:line="276" w:lineRule="auto"/>
        <w:ind w:right="-341"/>
        <w:jc w:val="center"/>
        <w:rPr>
          <w:rFonts w:asciiTheme="majorHAnsi" w:hAnsiTheme="majorHAnsi"/>
          <w:bCs/>
          <w:sz w:val="24"/>
          <w:szCs w:val="24"/>
        </w:rPr>
      </w:pPr>
      <w:r w:rsidRPr="00E67330">
        <w:rPr>
          <w:rFonts w:asciiTheme="majorHAnsi" w:hAnsiTheme="majorHAnsi"/>
          <w:bCs/>
          <w:sz w:val="24"/>
          <w:szCs w:val="24"/>
        </w:rPr>
        <w:t xml:space="preserve">Organizacja i przeprowadzenie </w:t>
      </w:r>
      <w:r w:rsidRPr="00E67330">
        <w:rPr>
          <w:rFonts w:asciiTheme="majorHAnsi" w:hAnsiTheme="majorHAnsi" w:cstheme="minorHAnsi"/>
          <w:sz w:val="24"/>
          <w:szCs w:val="24"/>
        </w:rPr>
        <w:t>szkoleń podnoszących kompetencje studentów - zakończonych procesem walidacji i certyfikacji uzyskanych kompetencji/kwalifikacji</w:t>
      </w:r>
    </w:p>
    <w:p w14:paraId="6950F272" w14:textId="77777777" w:rsidR="00AD71F9" w:rsidRPr="00E67330" w:rsidRDefault="00AD71F9" w:rsidP="00AD71F9">
      <w:pPr>
        <w:tabs>
          <w:tab w:val="left" w:pos="567"/>
        </w:tabs>
        <w:spacing w:line="276" w:lineRule="auto"/>
        <w:ind w:left="567" w:right="-1"/>
        <w:jc w:val="center"/>
        <w:rPr>
          <w:rFonts w:asciiTheme="majorHAnsi" w:hAnsiTheme="majorHAnsi"/>
          <w:b/>
          <w:bCs/>
        </w:rPr>
      </w:pPr>
      <w:r w:rsidRPr="00E67330">
        <w:rPr>
          <w:rFonts w:asciiTheme="majorHAnsi" w:hAnsiTheme="majorHAnsi"/>
          <w:b/>
          <w:bCs/>
        </w:rPr>
        <w:t>w ramach projektu „Stawiamy na rozwój UKW”</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F76194"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258B2E07"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AD71F9">
        <w:rPr>
          <w:rFonts w:asciiTheme="majorHAnsi" w:hAnsiTheme="majorHAnsi"/>
          <w:b/>
          <w:caps/>
          <w:sz w:val="22"/>
          <w:szCs w:val="22"/>
        </w:rPr>
        <w:t>7</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6AC5534D"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AD71F9" w:rsidRPr="007C723C">
        <w:rPr>
          <w:rFonts w:asciiTheme="majorHAnsi" w:hAnsiTheme="majorHAnsi"/>
          <w:b/>
          <w:bCs/>
          <w:sz w:val="20"/>
          <w:szCs w:val="20"/>
        </w:rPr>
        <w:t>0</w:t>
      </w:r>
      <w:r w:rsidR="007C723C" w:rsidRPr="007C723C">
        <w:rPr>
          <w:rFonts w:asciiTheme="majorHAnsi" w:hAnsiTheme="majorHAnsi"/>
          <w:b/>
          <w:bCs/>
          <w:sz w:val="20"/>
          <w:szCs w:val="20"/>
        </w:rPr>
        <w:t>2</w:t>
      </w:r>
      <w:r w:rsidR="00E626B3" w:rsidRPr="007C723C">
        <w:rPr>
          <w:rFonts w:asciiTheme="majorHAnsi" w:hAnsiTheme="majorHAnsi"/>
          <w:b/>
          <w:bCs/>
          <w:sz w:val="20"/>
          <w:szCs w:val="20"/>
        </w:rPr>
        <w:t>.0</w:t>
      </w:r>
      <w:r w:rsidR="00AD71F9" w:rsidRPr="007C723C">
        <w:rPr>
          <w:rFonts w:asciiTheme="majorHAnsi" w:hAnsiTheme="majorHAnsi"/>
          <w:b/>
          <w:bCs/>
          <w:sz w:val="20"/>
          <w:szCs w:val="20"/>
        </w:rPr>
        <w:t>3</w:t>
      </w:r>
      <w:r w:rsidR="00F51546" w:rsidRPr="007C723C">
        <w:rPr>
          <w:rFonts w:asciiTheme="majorHAnsi" w:hAnsiTheme="majorHAnsi"/>
          <w:b/>
          <w:bCs/>
          <w:sz w:val="20"/>
          <w:szCs w:val="20"/>
        </w:rPr>
        <w:t>.</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A93CE0">
      <w:pPr>
        <w:tabs>
          <w:tab w:val="left" w:pos="540"/>
        </w:tabs>
        <w:spacing w:line="360"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F76194" w:rsidP="006C502A">
      <w:pPr>
        <w:spacing w:line="360"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r w:rsidR="00C76CF2" w:rsidRPr="004B1778">
        <w:rPr>
          <w:rFonts w:asciiTheme="majorHAnsi" w:hAnsiTheme="majorHAnsi"/>
          <w:sz w:val="20"/>
        </w:rPr>
        <w:t>Pzp</w:t>
      </w:r>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r w:rsidR="00C76CF2" w:rsidRPr="004B1778">
        <w:rPr>
          <w:rFonts w:asciiTheme="majorHAnsi" w:hAnsiTheme="majorHAnsi"/>
          <w:sz w:val="20"/>
        </w:rPr>
        <w:t>Pzp</w:t>
      </w:r>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lastRenderedPageBreak/>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28B1E14"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r w:rsidR="00CD63D0">
        <w:rPr>
          <w:rStyle w:val="fontstyle01"/>
          <w:rFonts w:asciiTheme="majorHAnsi" w:hAnsiTheme="majorHAnsi"/>
          <w:sz w:val="20"/>
          <w:szCs w:val="20"/>
        </w:rPr>
        <w:t xml:space="preserve">Pzp </w:t>
      </w:r>
    </w:p>
    <w:p w14:paraId="5E1400C3" w14:textId="3C5819F4" w:rsidR="006204E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1AE887A6" w14:textId="5AD83C17" w:rsidR="00AD71F9" w:rsidRPr="00AD71F9" w:rsidRDefault="00AD71F9" w:rsidP="00E87E9E">
      <w:pPr>
        <w:pStyle w:val="pkt"/>
        <w:numPr>
          <w:ilvl w:val="0"/>
          <w:numId w:val="28"/>
        </w:numPr>
        <w:spacing w:before="0" w:after="0" w:line="276" w:lineRule="auto"/>
        <w:ind w:left="426" w:hanging="426"/>
        <w:rPr>
          <w:rFonts w:asciiTheme="majorHAnsi" w:hAnsiTheme="majorHAnsi" w:cstheme="majorHAnsi"/>
          <w:sz w:val="20"/>
        </w:rPr>
      </w:pPr>
      <w:r w:rsidRPr="00AD71F9">
        <w:rPr>
          <w:rFonts w:asciiTheme="majorHAnsi" w:hAnsiTheme="majorHAnsi" w:cstheme="majorHAnsi"/>
          <w:sz w:val="20"/>
        </w:rPr>
        <w:t>Szacunkowa wartość zamówienia wyrażona w złotych jest mniejsza niż równoważność kwoty 750.000 euro, o której mowa w art. 359 pkt 2) Pzp.</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r w:rsidR="00E31F3B" w:rsidRPr="004B1778">
        <w:rPr>
          <w:rFonts w:asciiTheme="majorHAnsi" w:hAnsiTheme="majorHAnsi"/>
          <w:sz w:val="20"/>
        </w:rPr>
        <w:t>Pzp</w:t>
      </w:r>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Pzp</w:t>
      </w:r>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395A54BF" w14:textId="5DF03F5D" w:rsidR="00AD71F9" w:rsidRPr="00AD71F9" w:rsidRDefault="00614485" w:rsidP="00AD71F9">
      <w:pPr>
        <w:pStyle w:val="Akapitzlist"/>
        <w:numPr>
          <w:ilvl w:val="0"/>
          <w:numId w:val="47"/>
        </w:numPr>
        <w:spacing w:line="276" w:lineRule="auto"/>
        <w:ind w:left="434"/>
        <w:jc w:val="both"/>
        <w:rPr>
          <w:rFonts w:asciiTheme="majorHAnsi" w:hAnsiTheme="majorHAnsi"/>
          <w:color w:val="000000"/>
          <w:sz w:val="20"/>
          <w:szCs w:val="20"/>
        </w:rPr>
      </w:pPr>
      <w:r w:rsidRPr="00DC0880">
        <w:rPr>
          <w:rFonts w:asciiTheme="majorHAnsi" w:hAnsiTheme="majorHAnsi"/>
          <w:sz w:val="20"/>
          <w:szCs w:val="20"/>
        </w:rPr>
        <w:t xml:space="preserve">Przedmiotem zamówienia jest </w:t>
      </w:r>
      <w:r w:rsidR="00AD71F9" w:rsidRPr="00AD71F9">
        <w:rPr>
          <w:rFonts w:asciiTheme="majorHAnsi" w:hAnsiTheme="majorHAnsi" w:cstheme="minorHAnsi"/>
          <w:sz w:val="20"/>
          <w:szCs w:val="20"/>
        </w:rPr>
        <w:t xml:space="preserve">zorganizowanie i przeprowadzenie specjalistycznego </w:t>
      </w:r>
      <w:r w:rsidR="00AD71F9" w:rsidRPr="00AD71F9">
        <w:rPr>
          <w:rFonts w:asciiTheme="majorHAnsi" w:hAnsiTheme="majorHAnsi" w:cstheme="minorHAnsi"/>
          <w:color w:val="000000"/>
          <w:sz w:val="20"/>
          <w:szCs w:val="20"/>
        </w:rPr>
        <w:t>szkolenia</w:t>
      </w:r>
      <w:r w:rsidR="00AD71F9" w:rsidRPr="00AD71F9">
        <w:rPr>
          <w:rFonts w:asciiTheme="majorHAnsi" w:hAnsiTheme="majorHAnsi" w:cstheme="minorHAnsi"/>
          <w:sz w:val="20"/>
          <w:szCs w:val="20"/>
        </w:rPr>
        <w:t xml:space="preserve"> zakończonego procesem walidacji i certyfikacji uzyskanych kompetencji/kwalifikacji z zakresu:</w:t>
      </w:r>
    </w:p>
    <w:p w14:paraId="7A69A00A" w14:textId="77777777" w:rsidR="00AD71F9" w:rsidRPr="00AD71F9" w:rsidRDefault="00AD71F9" w:rsidP="00AD71F9">
      <w:pPr>
        <w:pStyle w:val="Akapitzlist"/>
        <w:numPr>
          <w:ilvl w:val="0"/>
          <w:numId w:val="52"/>
        </w:numPr>
        <w:spacing w:line="276" w:lineRule="auto"/>
        <w:jc w:val="both"/>
        <w:rPr>
          <w:rFonts w:asciiTheme="majorHAnsi" w:hAnsiTheme="majorHAnsi"/>
          <w:color w:val="000000"/>
          <w:sz w:val="20"/>
          <w:szCs w:val="20"/>
        </w:rPr>
      </w:pPr>
      <w:r w:rsidRPr="00AD71F9">
        <w:rPr>
          <w:rFonts w:asciiTheme="majorHAnsi" w:hAnsiTheme="majorHAnsi" w:cstheme="minorHAnsi"/>
          <w:sz w:val="20"/>
          <w:szCs w:val="20"/>
        </w:rPr>
        <w:t>Szkolenie  -</w:t>
      </w:r>
      <w:r w:rsidRPr="00AD71F9">
        <w:rPr>
          <w:rFonts w:asciiTheme="majorHAnsi" w:hAnsiTheme="majorHAnsi" w:cstheme="minorHAnsi"/>
          <w:b/>
          <w:sz w:val="20"/>
          <w:szCs w:val="20"/>
        </w:rPr>
        <w:t xml:space="preserve"> Praktyczne aspekty technologii VR </w:t>
      </w:r>
      <w:r w:rsidRPr="00AD71F9">
        <w:rPr>
          <w:rFonts w:asciiTheme="majorHAnsi" w:hAnsiTheme="majorHAnsi" w:cstheme="minorHAnsi"/>
          <w:sz w:val="20"/>
          <w:szCs w:val="20"/>
        </w:rPr>
        <w:t>(20 godzin / 1 osobę)</w:t>
      </w:r>
    </w:p>
    <w:p w14:paraId="412D89CF" w14:textId="683CC6D9" w:rsidR="00AD71F9" w:rsidRPr="00AD71F9" w:rsidRDefault="00AD71F9" w:rsidP="00AD71F9">
      <w:pPr>
        <w:pStyle w:val="Akapitzlist"/>
        <w:numPr>
          <w:ilvl w:val="0"/>
          <w:numId w:val="47"/>
        </w:numPr>
        <w:tabs>
          <w:tab w:val="clear" w:pos="595"/>
          <w:tab w:val="num" w:pos="426"/>
        </w:tabs>
        <w:spacing w:line="276" w:lineRule="auto"/>
        <w:ind w:hanging="595"/>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 xml:space="preserve">Przedmiotem zamówienia jest zorganizowanie i przeprowadzenie specjalistycznego szkolenia </w:t>
      </w:r>
      <w:r w:rsidRPr="00AD71F9">
        <w:rPr>
          <w:rFonts w:asciiTheme="majorHAnsi" w:eastAsiaTheme="minorEastAsia" w:hAnsiTheme="majorHAnsi" w:cstheme="minorHAnsi"/>
          <w:b/>
          <w:color w:val="000000" w:themeColor="text1"/>
          <w:sz w:val="20"/>
          <w:szCs w:val="20"/>
        </w:rPr>
        <w:t>„Praktyczne aspekty</w:t>
      </w:r>
      <w:r>
        <w:rPr>
          <w:rFonts w:asciiTheme="majorHAnsi" w:eastAsiaTheme="minorEastAsia" w:hAnsiTheme="majorHAnsi" w:cstheme="minorHAnsi"/>
          <w:b/>
          <w:color w:val="000000" w:themeColor="text1"/>
          <w:sz w:val="20"/>
          <w:szCs w:val="20"/>
        </w:rPr>
        <w:t xml:space="preserve"> </w:t>
      </w:r>
      <w:r w:rsidRPr="00AD71F9">
        <w:rPr>
          <w:rFonts w:asciiTheme="majorHAnsi" w:eastAsiaTheme="minorEastAsia" w:hAnsiTheme="majorHAnsi" w:cstheme="minorHAnsi"/>
          <w:b/>
          <w:color w:val="000000" w:themeColor="text1"/>
          <w:sz w:val="20"/>
          <w:szCs w:val="20"/>
        </w:rPr>
        <w:t>technologii VR”</w:t>
      </w:r>
      <w:r w:rsidRPr="00AD71F9">
        <w:rPr>
          <w:rFonts w:asciiTheme="majorHAnsi" w:eastAsiaTheme="minorEastAsia" w:hAnsiTheme="majorHAnsi" w:cstheme="minorHAnsi"/>
          <w:color w:val="000000" w:themeColor="text1"/>
          <w:sz w:val="20"/>
          <w:szCs w:val="20"/>
        </w:rPr>
        <w:t xml:space="preserve"> dla 36 osób, realizowanych w 3 grupach studentów (po ok. 12-13 osób w grupie), w łącznym wymiarze  20 godzin dydaktycznych zajęć dla jednego uczestnika  / 1 grupa, zakończonego procesem walidacji i certyfikacji uzyskanych kompetencji/kwalifikacji z zakresu:</w:t>
      </w:r>
    </w:p>
    <w:p w14:paraId="0B0C980E" w14:textId="77777777" w:rsidR="00AD71F9" w:rsidRPr="00AD71F9" w:rsidRDefault="00AD71F9" w:rsidP="00AD71F9">
      <w:pPr>
        <w:pStyle w:val="Akapitzlist"/>
        <w:numPr>
          <w:ilvl w:val="0"/>
          <w:numId w:val="51"/>
        </w:num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 xml:space="preserve">Wprowadzenie do technologii VR, instruktarz konfiguracji i uruchomienia zestawów VR </w:t>
      </w:r>
    </w:p>
    <w:p w14:paraId="7D31F9FE" w14:textId="77777777" w:rsidR="00AD71F9" w:rsidRPr="00AD71F9" w:rsidRDefault="00AD71F9" w:rsidP="00AD71F9">
      <w:pPr>
        <w:pStyle w:val="Akapitzlist"/>
        <w:numPr>
          <w:ilvl w:val="0"/>
          <w:numId w:val="51"/>
        </w:num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 xml:space="preserve">Wprowadzenie do wybranego środowiska programistycznego właściwego do tworzenia oprogramowania dla środowiska VR, omówienie przykładów dla zestawów VR </w:t>
      </w:r>
    </w:p>
    <w:p w14:paraId="01508C39" w14:textId="77777777" w:rsidR="00AD71F9" w:rsidRPr="00AD71F9" w:rsidRDefault="00AD71F9" w:rsidP="00AD71F9">
      <w:pPr>
        <w:pStyle w:val="Akapitzlist"/>
        <w:numPr>
          <w:ilvl w:val="0"/>
          <w:numId w:val="51"/>
        </w:num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 xml:space="preserve">Realizacja, pod kierunkiem prowadzących szkolenie, w zespołach dwuosobowych mini projektów programistycznych, polegających na opracowaniu przykładowych programów dla zestawów VR </w:t>
      </w:r>
    </w:p>
    <w:p w14:paraId="0A201F6E" w14:textId="77777777" w:rsidR="00AD71F9" w:rsidRPr="00AD71F9" w:rsidRDefault="00AD71F9" w:rsidP="00AD71F9">
      <w:pPr>
        <w:pStyle w:val="Akapitzlist"/>
        <w:numPr>
          <w:ilvl w:val="0"/>
          <w:numId w:val="51"/>
        </w:num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 xml:space="preserve">Realizacja, pod kierunkiem prowadzących szkolenie, w zespołach dwuosobowych mini projektów programistycznych, polegających na opracowaniu przykładowych programów z wykorzystaniem sterowania </w:t>
      </w:r>
      <w:r w:rsidRPr="00AD71F9">
        <w:rPr>
          <w:rFonts w:asciiTheme="majorHAnsi" w:eastAsiaTheme="minorEastAsia" w:hAnsiTheme="majorHAnsi" w:cstheme="minorHAnsi"/>
          <w:color w:val="000000" w:themeColor="text1"/>
          <w:sz w:val="20"/>
          <w:szCs w:val="20"/>
        </w:rPr>
        <w:lastRenderedPageBreak/>
        <w:t xml:space="preserve">komponentu sprzętowego (z wykorzystaniem platform mobilnych, wskazanych w pkt VI. „Warunki udziału w postępowaniu”) i komunikacji bezprzewodowej dla zestawów VR </w:t>
      </w:r>
    </w:p>
    <w:p w14:paraId="0D6285B3" w14:textId="77777777" w:rsidR="00AD71F9" w:rsidRPr="00AD71F9" w:rsidRDefault="00AD71F9" w:rsidP="00AD71F9">
      <w:pPr>
        <w:pStyle w:val="Akapitzlist"/>
        <w:numPr>
          <w:ilvl w:val="0"/>
          <w:numId w:val="51"/>
        </w:num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Wprowadzenie do technologii skanowania 3D, skanowanie z użyciem skanera 3D, podstawowe przetwarzanie obrazów zeskanowanych, przygotowanie do druku oraz użycia jako elementów graficznych w technologii VR</w:t>
      </w:r>
    </w:p>
    <w:p w14:paraId="17AFCEA0"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Zamawiający zastrzega sobie możliwość zwiększenia ilości osób biorących udział w szkoleniu do 50% ilości osób przewidzianych w postępowaniu. Zwiększenie ilości osób będzie skutkowało proporcjonalnym zwiększeniem środków na każdą dodatkową osobę.</w:t>
      </w:r>
    </w:p>
    <w:p w14:paraId="4E96A0DC"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Uczestnicy szkoleń: studenci kierunku mechatronika i informatyka prowadzonych przez UKW Bydgoszcz.</w:t>
      </w:r>
    </w:p>
    <w:p w14:paraId="03A5FA1F"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Zamawiający na potrzeby realizacji szkolenia (dla każdej grupy) nieodpłatnie udostępni sale szkoleniowe wyposażone w: biurko prowadzącego, ławki słuchaczy kursu, rzutnik multimedialny i ekran, komputer umożliwiający prezentację materiałów dydaktycznych. Pozostałe elementy niezbędne do przeprowadzenia szkolenia zapewnia Wykonawca.</w:t>
      </w:r>
    </w:p>
    <w:p w14:paraId="11791922"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Prowadzący szkolenie musi umożliwić udział w szkoleniu pracownikowi UKW w przypadku konieczności weryfikacji realizowanego materiału.</w:t>
      </w:r>
    </w:p>
    <w:p w14:paraId="6DC5E4B9" w14:textId="77777777" w:rsidR="00AD71F9" w:rsidRPr="00AD71F9" w:rsidRDefault="00AD71F9" w:rsidP="00AD71F9">
      <w:pPr>
        <w:pStyle w:val="Akapitzlist1"/>
        <w:spacing w:after="0"/>
        <w:ind w:left="0"/>
        <w:contextualSpacing w:val="0"/>
        <w:jc w:val="both"/>
        <w:rPr>
          <w:rFonts w:asciiTheme="majorHAnsi" w:hAnsiTheme="majorHAnsi" w:cstheme="minorHAnsi"/>
          <w:b/>
          <w:sz w:val="20"/>
          <w:szCs w:val="20"/>
        </w:rPr>
      </w:pPr>
    </w:p>
    <w:p w14:paraId="5BE46FF6" w14:textId="2739C62B" w:rsidR="00AD71F9" w:rsidRPr="00AD71F9" w:rsidRDefault="00AD71F9" w:rsidP="00AD71F9">
      <w:pPr>
        <w:pStyle w:val="Akapitzlist1"/>
        <w:numPr>
          <w:ilvl w:val="0"/>
          <w:numId w:val="52"/>
        </w:numPr>
        <w:spacing w:after="0"/>
        <w:contextualSpacing w:val="0"/>
        <w:jc w:val="both"/>
        <w:rPr>
          <w:rFonts w:asciiTheme="majorHAnsi" w:hAnsiTheme="majorHAnsi" w:cstheme="minorHAnsi"/>
          <w:b/>
          <w:sz w:val="20"/>
          <w:szCs w:val="20"/>
        </w:rPr>
      </w:pPr>
      <w:r w:rsidRPr="00AD71F9">
        <w:rPr>
          <w:rFonts w:asciiTheme="majorHAnsi" w:hAnsiTheme="majorHAnsi" w:cstheme="minorHAnsi"/>
          <w:sz w:val="20"/>
          <w:szCs w:val="20"/>
        </w:rPr>
        <w:t>Szkolenie</w:t>
      </w:r>
      <w:r w:rsidRPr="00AD71F9">
        <w:rPr>
          <w:rFonts w:asciiTheme="majorHAnsi" w:hAnsiTheme="majorHAnsi" w:cstheme="minorHAnsi"/>
          <w:b/>
          <w:sz w:val="20"/>
          <w:szCs w:val="20"/>
        </w:rPr>
        <w:t xml:space="preserve"> - Internet rzeczy </w:t>
      </w:r>
      <w:r w:rsidRPr="00AD71F9">
        <w:rPr>
          <w:rFonts w:asciiTheme="majorHAnsi" w:hAnsiTheme="majorHAnsi" w:cstheme="minorHAnsi"/>
          <w:sz w:val="20"/>
          <w:szCs w:val="20"/>
        </w:rPr>
        <w:t>(24  godziny / 1 osobę)</w:t>
      </w:r>
    </w:p>
    <w:p w14:paraId="65A819CA"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Przedmiotem zamówienia jest zorganizowanie i przeprowadzenie specjalistycznego szkolenia „</w:t>
      </w:r>
      <w:r w:rsidRPr="00AD71F9">
        <w:rPr>
          <w:rFonts w:asciiTheme="majorHAnsi" w:hAnsiTheme="majorHAnsi" w:cstheme="minorHAnsi"/>
          <w:b/>
          <w:sz w:val="20"/>
          <w:szCs w:val="20"/>
        </w:rPr>
        <w:t xml:space="preserve">Internet rzeczy” </w:t>
      </w:r>
      <w:r w:rsidRPr="00AD71F9">
        <w:rPr>
          <w:rFonts w:asciiTheme="majorHAnsi" w:eastAsiaTheme="minorEastAsia" w:hAnsiTheme="majorHAnsi" w:cstheme="minorHAnsi"/>
          <w:color w:val="000000" w:themeColor="text1"/>
          <w:sz w:val="20"/>
          <w:szCs w:val="20"/>
        </w:rPr>
        <w:t>dla 110 osób, realizowanego dla 9 grupach studentów (po ok. 12-13 osób w grupie), w wymiarze 24 godzin dydaktycznych zajęć dla jednego uczestnika / 1 grupa, zakończonego procesem walidacji i certyfikacji uzyskanych kompetencji/kwalifikacji.</w:t>
      </w:r>
    </w:p>
    <w:p w14:paraId="7CF24A06"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Zamawiający zastrzega sobie możliwość zwiększenia ilości osób biorących udział w szkoleniu do 50% ilości osób przewidzianych w postępowaniu. Zwiększenie ilości osób będzie skutkowało proporcjonalnym zwiększeniem środków na każdą dodatkową osobę.</w:t>
      </w:r>
    </w:p>
    <w:p w14:paraId="760EBABE"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Uczestnicy szkoleń: studenci kierunku mechatronika i informatyka prowadzonych przez UKW Bydgoszcz.</w:t>
      </w:r>
    </w:p>
    <w:p w14:paraId="2E1F00E3"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Zamawiający na potrzeby realizacji szkolenia (dla każdej grupy) nieodpłatnie udostępni sale szkoleniowe wyposażone w: biurko prowadzącego, ławki słuchaczy kursu, rzutnik multimedialny i ekran, komputer umożliwiający prezentację materiałów dydaktycznych. Pozostałe elementy niezbędne do przeprowadzenia szkolenia zapewnia Wykonawca.</w:t>
      </w:r>
    </w:p>
    <w:p w14:paraId="7671D3A9" w14:textId="77777777"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Wykonawca w ramach szkolenia realizuje proces certyfikacyjny i wydaje certyfikaty.</w:t>
      </w:r>
    </w:p>
    <w:p w14:paraId="1D7EF1A5" w14:textId="3E70F4BD" w:rsidR="00AD71F9" w:rsidRPr="00AD71F9" w:rsidRDefault="00AD71F9" w:rsidP="00AD71F9">
      <w:pPr>
        <w:spacing w:line="276" w:lineRule="auto"/>
        <w:jc w:val="both"/>
        <w:rPr>
          <w:rFonts w:asciiTheme="majorHAnsi" w:eastAsiaTheme="minorEastAsia" w:hAnsiTheme="majorHAnsi" w:cstheme="minorHAnsi"/>
          <w:color w:val="000000" w:themeColor="text1"/>
          <w:sz w:val="20"/>
          <w:szCs w:val="20"/>
        </w:rPr>
      </w:pPr>
      <w:r w:rsidRPr="00AD71F9">
        <w:rPr>
          <w:rFonts w:asciiTheme="majorHAnsi" w:eastAsiaTheme="minorEastAsia" w:hAnsiTheme="majorHAnsi" w:cstheme="minorHAnsi"/>
          <w:color w:val="000000" w:themeColor="text1"/>
          <w:sz w:val="20"/>
          <w:szCs w:val="20"/>
        </w:rPr>
        <w:t>Zamawiający wymaga, aby w ramach szkolenia dla każdej grupy, zostały zrealizowane co najmniej następujące zagadnienia merytoryczne (program szkolenia):</w:t>
      </w:r>
    </w:p>
    <w:p w14:paraId="2A090655" w14:textId="77777777" w:rsidR="00AD71F9" w:rsidRPr="00AD71F9" w:rsidRDefault="00AD71F9" w:rsidP="00AD71F9">
      <w:pPr>
        <w:spacing w:line="276" w:lineRule="auto"/>
        <w:ind w:left="349" w:hanging="34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u w:val="single"/>
        </w:rPr>
        <w:t>Moduł 1</w:t>
      </w:r>
      <w:r w:rsidRPr="00AD71F9">
        <w:rPr>
          <w:rFonts w:asciiTheme="majorHAnsi" w:eastAsiaTheme="minorEastAsia" w:hAnsiTheme="majorHAnsi" w:cstheme="majorHAnsi"/>
          <w:color w:val="000000" w:themeColor="text1"/>
          <w:sz w:val="20"/>
          <w:szCs w:val="20"/>
        </w:rPr>
        <w:t xml:space="preserve"> - OpenSource’owy system automatyki domowej - 8h</w:t>
      </w:r>
    </w:p>
    <w:p w14:paraId="3744B7FB" w14:textId="77777777" w:rsidR="00AD71F9" w:rsidRPr="00AD71F9" w:rsidRDefault="00AD71F9" w:rsidP="00AD71F9">
      <w:pPr>
        <w:spacing w:line="276" w:lineRule="auto"/>
        <w:ind w:left="34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 xml:space="preserve"> Minimalny zakres merytoryczny: </w:t>
      </w:r>
    </w:p>
    <w:p w14:paraId="6252EE80"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Systemy opensource,</w:t>
      </w:r>
    </w:p>
    <w:p w14:paraId="229487EF"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Protokoły w automatyce domowej,</w:t>
      </w:r>
    </w:p>
    <w:p w14:paraId="372F90B9"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Platforma sprzętowa,</w:t>
      </w:r>
    </w:p>
    <w:p w14:paraId="36CFEC30"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Instalacja i podstawowa konfiguracja systemu Raspbian</w:t>
      </w:r>
    </w:p>
    <w:p w14:paraId="61A4C540"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Instalacja usługi Domoticz lub OpenHub</w:t>
      </w:r>
    </w:p>
    <w:p w14:paraId="093023F6"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Tworzenie użytkowników i konfiguracja usługi,</w:t>
      </w:r>
    </w:p>
    <w:p w14:paraId="16E04393"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Zdalny dostęp do systemu,</w:t>
      </w:r>
    </w:p>
    <w:p w14:paraId="348D2283"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Instalowanie urządzeń IoT w systemie,</w:t>
      </w:r>
    </w:p>
    <w:p w14:paraId="2571D9B4"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Tworzenie skryptów automatyki,</w:t>
      </w:r>
    </w:p>
    <w:p w14:paraId="1BB98744"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Tworzenie planu pomieszczeń z naniesionymi urządzeniami</w:t>
      </w:r>
    </w:p>
    <w:p w14:paraId="3786EA02"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Aplikacja mobilna do zarządzania systemem,</w:t>
      </w:r>
    </w:p>
    <w:p w14:paraId="4DCC324E"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Nakładki systemowe innych dostawców i ich instalacja w systemie</w:t>
      </w:r>
    </w:p>
    <w:p w14:paraId="2DB2C389"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Monitorowanie pracy systemu automatyki</w:t>
      </w:r>
    </w:p>
    <w:p w14:paraId="3E043982" w14:textId="77777777" w:rsidR="00AD71F9" w:rsidRPr="00AD71F9" w:rsidRDefault="00AD71F9" w:rsidP="00AD71F9">
      <w:pPr>
        <w:pStyle w:val="Akapitzlist1"/>
        <w:spacing w:after="0"/>
        <w:ind w:left="709"/>
        <w:contextualSpacing w:val="0"/>
        <w:jc w:val="both"/>
        <w:rPr>
          <w:rFonts w:asciiTheme="majorHAnsi" w:hAnsiTheme="majorHAnsi" w:cstheme="majorHAnsi"/>
          <w:sz w:val="20"/>
          <w:szCs w:val="20"/>
        </w:rPr>
      </w:pPr>
    </w:p>
    <w:p w14:paraId="431F08CB" w14:textId="77777777" w:rsidR="00AD71F9" w:rsidRPr="00AD71F9" w:rsidRDefault="00AD71F9" w:rsidP="00AD71F9">
      <w:pPr>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u w:val="single"/>
        </w:rPr>
        <w:t>Moduł 2</w:t>
      </w:r>
      <w:r w:rsidRPr="00AD71F9">
        <w:rPr>
          <w:rFonts w:asciiTheme="majorHAnsi" w:eastAsiaTheme="minorEastAsia" w:hAnsiTheme="majorHAnsi" w:cstheme="majorHAnsi"/>
          <w:color w:val="000000" w:themeColor="text1"/>
          <w:sz w:val="20"/>
          <w:szCs w:val="20"/>
        </w:rPr>
        <w:t xml:space="preserve"> - Rozwiązania techniczne dla Internetu Rzeczy - Montaż elementów elektronicznych - 8h</w:t>
      </w:r>
    </w:p>
    <w:p w14:paraId="18A1220D" w14:textId="77777777" w:rsidR="00AD71F9" w:rsidRPr="00AD71F9" w:rsidRDefault="00AD71F9" w:rsidP="00AD71F9">
      <w:pPr>
        <w:spacing w:line="276" w:lineRule="auto"/>
        <w:ind w:left="34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Minimalny zakres merytoryczny:</w:t>
      </w:r>
    </w:p>
    <w:p w14:paraId="78A3F914" w14:textId="77777777" w:rsidR="00AD71F9" w:rsidRPr="00AD71F9" w:rsidRDefault="00AD71F9" w:rsidP="00AD71F9">
      <w:pPr>
        <w:pStyle w:val="Akapitzlist1"/>
        <w:numPr>
          <w:ilvl w:val="0"/>
          <w:numId w:val="50"/>
        </w:numPr>
        <w:spacing w:after="0"/>
        <w:ind w:left="709"/>
        <w:contextualSpacing w:val="0"/>
        <w:jc w:val="both"/>
        <w:rPr>
          <w:rFonts w:asciiTheme="majorHAnsi" w:hAnsiTheme="majorHAnsi" w:cstheme="majorHAnsi"/>
          <w:sz w:val="20"/>
          <w:szCs w:val="20"/>
        </w:rPr>
      </w:pPr>
      <w:r w:rsidRPr="00AD71F9">
        <w:rPr>
          <w:rFonts w:asciiTheme="majorHAnsi" w:eastAsiaTheme="minorEastAsia" w:hAnsiTheme="majorHAnsi" w:cstheme="majorHAnsi"/>
          <w:color w:val="000000" w:themeColor="text1"/>
          <w:sz w:val="20"/>
          <w:szCs w:val="20"/>
        </w:rPr>
        <w:t xml:space="preserve">Przygotowanie układu sprzętowego do obsługi programistycznej. </w:t>
      </w:r>
    </w:p>
    <w:p w14:paraId="4597627C" w14:textId="77777777" w:rsidR="00AD71F9" w:rsidRPr="00AD71F9" w:rsidRDefault="00AD71F9" w:rsidP="00AD71F9">
      <w:pPr>
        <w:pStyle w:val="Akapitzlist1"/>
        <w:numPr>
          <w:ilvl w:val="0"/>
          <w:numId w:val="50"/>
        </w:numPr>
        <w:spacing w:after="0"/>
        <w:ind w:left="709"/>
        <w:contextualSpacing w:val="0"/>
        <w:jc w:val="both"/>
        <w:rPr>
          <w:rFonts w:asciiTheme="majorHAnsi" w:hAnsiTheme="majorHAnsi" w:cstheme="majorHAnsi"/>
          <w:sz w:val="20"/>
          <w:szCs w:val="20"/>
        </w:rPr>
      </w:pPr>
      <w:r w:rsidRPr="00AD71F9">
        <w:rPr>
          <w:rFonts w:asciiTheme="majorHAnsi" w:eastAsiaTheme="minorEastAsia" w:hAnsiTheme="majorHAnsi" w:cstheme="majorHAnsi"/>
          <w:color w:val="000000" w:themeColor="text1"/>
          <w:sz w:val="20"/>
          <w:szCs w:val="20"/>
        </w:rPr>
        <w:t>Lutowanie układów elektronicznych z wykorzystaniem płytek prototypowych (użycie typowych elementów przewlekanych takich jak diody, rezystory itp.) oraz gotowego zestawu do samodzielnego montażu: przetwornik A/C do PC z komunikacją przez port USB, z możliwością obsługi programistycznej przez port wirtualny com z poziomu języka C# w środowisku Windows. Układ przetwornika ma zostać złożony i przetestowany przez studentów w trakcie szkolenia.</w:t>
      </w:r>
    </w:p>
    <w:p w14:paraId="5BAA1061" w14:textId="77777777" w:rsidR="00AD71F9" w:rsidRPr="00AD71F9" w:rsidRDefault="00AD71F9" w:rsidP="00AD71F9">
      <w:pPr>
        <w:tabs>
          <w:tab w:val="left" w:pos="851"/>
        </w:tabs>
        <w:spacing w:line="276" w:lineRule="auto"/>
        <w:ind w:left="284"/>
        <w:jc w:val="both"/>
        <w:rPr>
          <w:rFonts w:asciiTheme="majorHAnsi" w:hAnsiTheme="majorHAnsi" w:cstheme="majorHAnsi"/>
          <w:b/>
          <w:sz w:val="20"/>
          <w:szCs w:val="20"/>
          <w:u w:val="single"/>
        </w:rPr>
      </w:pPr>
    </w:p>
    <w:p w14:paraId="26433135" w14:textId="77777777" w:rsidR="00AD71F9" w:rsidRPr="00AD71F9" w:rsidRDefault="00AD71F9" w:rsidP="00AD71F9">
      <w:pPr>
        <w:spacing w:line="264" w:lineRule="auto"/>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u w:val="single"/>
        </w:rPr>
        <w:t>Moduł 3</w:t>
      </w:r>
      <w:r w:rsidRPr="00AD71F9">
        <w:rPr>
          <w:rFonts w:asciiTheme="majorHAnsi" w:eastAsiaTheme="minorEastAsia" w:hAnsiTheme="majorHAnsi" w:cstheme="majorHAnsi"/>
          <w:color w:val="000000" w:themeColor="text1"/>
          <w:sz w:val="20"/>
          <w:szCs w:val="20"/>
        </w:rPr>
        <w:t xml:space="preserve"> - Interfejsy komunikacyjne w sieciach IOT/IIOT oraz systemach smart-home - 8h</w:t>
      </w:r>
    </w:p>
    <w:p w14:paraId="7AC37B2B" w14:textId="77777777" w:rsidR="00AD71F9" w:rsidRPr="00AD71F9" w:rsidRDefault="00AD71F9" w:rsidP="00AD71F9">
      <w:pPr>
        <w:spacing w:line="276" w:lineRule="auto"/>
        <w:ind w:left="360"/>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Minimalny zakres merytoryczny:</w:t>
      </w:r>
    </w:p>
    <w:p w14:paraId="38591450"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omówienie trybów pracy oraz sposobów programowania modułów ESP8266 i ESP32</w:t>
      </w:r>
    </w:p>
    <w:p w14:paraId="4C6D05EC"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wykorzystanie gotowego firmware’u z interfejsem graficznym (typu ESP Easy) do budowy własnego systemu IOT</w:t>
      </w:r>
    </w:p>
    <w:p w14:paraId="0D8905CE"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przesyłanie danych na platformy IOT typu ThingSpeak</w:t>
      </w:r>
    </w:p>
    <w:p w14:paraId="5CB065DC" w14:textId="77777777" w:rsidR="00AD71F9" w:rsidRPr="00AD71F9" w:rsidRDefault="00AD71F9" w:rsidP="00AD71F9">
      <w:pPr>
        <w:pStyle w:val="Akapitzlist"/>
        <w:numPr>
          <w:ilvl w:val="0"/>
          <w:numId w:val="49"/>
        </w:numPr>
        <w:spacing w:line="276" w:lineRule="auto"/>
        <w:ind w:left="709"/>
        <w:jc w:val="both"/>
        <w:rPr>
          <w:rFonts w:asciiTheme="majorHAnsi" w:eastAsiaTheme="minorEastAsia" w:hAnsiTheme="majorHAnsi" w:cstheme="majorHAnsi"/>
          <w:color w:val="000000" w:themeColor="text1"/>
          <w:sz w:val="20"/>
          <w:szCs w:val="20"/>
        </w:rPr>
      </w:pPr>
      <w:r w:rsidRPr="00AD71F9">
        <w:rPr>
          <w:rFonts w:asciiTheme="majorHAnsi" w:eastAsiaTheme="minorEastAsia" w:hAnsiTheme="majorHAnsi" w:cstheme="majorHAnsi"/>
          <w:color w:val="000000" w:themeColor="text1"/>
          <w:sz w:val="20"/>
          <w:szCs w:val="20"/>
        </w:rPr>
        <w:t>budowa i uruchomienie własnego modułu IOT</w:t>
      </w:r>
    </w:p>
    <w:p w14:paraId="76408156" w14:textId="77777777" w:rsidR="00AD71F9" w:rsidRPr="00AD71F9" w:rsidRDefault="00AD71F9" w:rsidP="00AD71F9">
      <w:pPr>
        <w:pStyle w:val="Akapitzlist"/>
        <w:spacing w:line="276" w:lineRule="auto"/>
        <w:ind w:left="709"/>
        <w:jc w:val="both"/>
        <w:rPr>
          <w:rFonts w:asciiTheme="majorHAnsi" w:eastAsiaTheme="minorEastAsia" w:hAnsiTheme="majorHAnsi" w:cstheme="majorHAnsi"/>
          <w:color w:val="000000" w:themeColor="text1"/>
          <w:sz w:val="20"/>
          <w:szCs w:val="20"/>
        </w:rPr>
      </w:pPr>
    </w:p>
    <w:p w14:paraId="23AEA6F9" w14:textId="77777777" w:rsidR="00AD71F9" w:rsidRPr="00AD71F9" w:rsidRDefault="00AD71F9" w:rsidP="00AD71F9">
      <w:pPr>
        <w:jc w:val="both"/>
        <w:rPr>
          <w:rFonts w:asciiTheme="majorHAnsi" w:hAnsiTheme="majorHAnsi" w:cstheme="majorHAnsi"/>
          <w:b/>
          <w:bCs/>
          <w:sz w:val="20"/>
          <w:szCs w:val="20"/>
        </w:rPr>
      </w:pPr>
      <w:r w:rsidRPr="00AD71F9">
        <w:rPr>
          <w:rFonts w:asciiTheme="majorHAnsi" w:hAnsiTheme="majorHAnsi" w:cstheme="majorHAnsi"/>
          <w:b/>
          <w:bCs/>
          <w:sz w:val="20"/>
          <w:szCs w:val="20"/>
        </w:rPr>
        <w:t>Prowadzący szkolenie musi umożliwić udział w szkoleniu pracownikowi UKW w przypadku konieczności weryfikacji realizowanego materiału.</w:t>
      </w:r>
    </w:p>
    <w:p w14:paraId="47D51080" w14:textId="53E6DBB6" w:rsidR="00CE5E19" w:rsidRDefault="00CE5E19" w:rsidP="00AD71F9">
      <w:pPr>
        <w:tabs>
          <w:tab w:val="left" w:pos="851"/>
        </w:tabs>
        <w:spacing w:line="276" w:lineRule="auto"/>
        <w:jc w:val="both"/>
        <w:rPr>
          <w:rFonts w:asciiTheme="majorHAnsi" w:hAnsiTheme="majorHAnsi" w:cstheme="majorHAnsi"/>
          <w:b/>
          <w:sz w:val="20"/>
          <w:szCs w:val="20"/>
          <w:u w:val="single"/>
        </w:rPr>
      </w:pPr>
    </w:p>
    <w:p w14:paraId="5A87AD75" w14:textId="22164144" w:rsidR="00CE5E19" w:rsidRDefault="00CE5E19" w:rsidP="00AD71F9">
      <w:pPr>
        <w:tabs>
          <w:tab w:val="left" w:pos="851"/>
        </w:tabs>
        <w:spacing w:line="276" w:lineRule="auto"/>
        <w:jc w:val="both"/>
        <w:rPr>
          <w:rFonts w:asciiTheme="majorHAnsi" w:hAnsiTheme="majorHAnsi" w:cstheme="majorHAnsi"/>
          <w:b/>
          <w:sz w:val="20"/>
          <w:szCs w:val="20"/>
          <w:u w:val="single"/>
        </w:rPr>
      </w:pPr>
    </w:p>
    <w:p w14:paraId="50CAE0FE" w14:textId="01484173" w:rsidR="00DD419F" w:rsidRPr="00DD419F" w:rsidRDefault="00DD419F" w:rsidP="00AD1CA3">
      <w:pPr>
        <w:pStyle w:val="Akapitzlist"/>
        <w:numPr>
          <w:ilvl w:val="0"/>
          <w:numId w:val="47"/>
        </w:numPr>
        <w:tabs>
          <w:tab w:val="clear" w:pos="595"/>
          <w:tab w:val="num" w:pos="284"/>
        </w:tabs>
        <w:spacing w:after="40" w:line="276" w:lineRule="auto"/>
        <w:jc w:val="both"/>
        <w:rPr>
          <w:rFonts w:asciiTheme="majorHAnsi" w:hAnsiTheme="majorHAnsi" w:cstheme="majorHAnsi"/>
          <w:b/>
          <w:sz w:val="20"/>
          <w:szCs w:val="20"/>
          <w:u w:val="single"/>
        </w:rPr>
      </w:pPr>
      <w:r w:rsidRPr="00DD419F">
        <w:rPr>
          <w:rFonts w:asciiTheme="majorHAnsi" w:hAnsiTheme="majorHAnsi" w:cstheme="majorHAnsi"/>
          <w:color w:val="333333"/>
          <w:sz w:val="20"/>
          <w:szCs w:val="20"/>
          <w:shd w:val="clear" w:color="auto" w:fill="FFFFFF"/>
        </w:rPr>
        <w:t xml:space="preserve">W przypadku rozwiązań równoważnych  wykonawca powinien przedłożyć dowody równoważności, </w:t>
      </w:r>
    </w:p>
    <w:p w14:paraId="11D1F2EE" w14:textId="7B0EA967"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Wspólny Słownik Zamówień CPV: </w:t>
      </w:r>
      <w:r w:rsidRPr="00DD419F">
        <w:rPr>
          <w:rFonts w:asciiTheme="majorHAnsi" w:hAnsiTheme="majorHAnsi"/>
          <w:color w:val="000000"/>
          <w:sz w:val="20"/>
          <w:szCs w:val="20"/>
        </w:rPr>
        <w:t>80000000-4 Usługi edukacyjne i szkoleniowe</w:t>
      </w:r>
    </w:p>
    <w:p w14:paraId="3E615041" w14:textId="03585A1E"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przewiduje</w:t>
      </w:r>
      <w:r w:rsidRPr="00DD419F">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735282F3"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częściowych.</w:t>
      </w:r>
    </w:p>
    <w:p w14:paraId="072DE9CC" w14:textId="0B84AA03"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p>
    <w:p w14:paraId="076EFB99" w14:textId="0526BB2E" w:rsidR="00AD71F9" w:rsidRPr="00DD419F" w:rsidRDefault="00AD71F9" w:rsidP="00DD419F">
      <w:pPr>
        <w:pStyle w:val="Akapitzlist"/>
        <w:numPr>
          <w:ilvl w:val="0"/>
          <w:numId w:val="47"/>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ustawy Pzp.</w:t>
      </w:r>
    </w:p>
    <w:p w14:paraId="47B6D0CF" w14:textId="0D6EA4B0" w:rsidR="00AD71F9" w:rsidRPr="00DD419F" w:rsidRDefault="00AD71F9" w:rsidP="00DD419F">
      <w:pPr>
        <w:pStyle w:val="Akapitzlist"/>
        <w:numPr>
          <w:ilvl w:val="0"/>
          <w:numId w:val="47"/>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w art. 308 ust. 1 ustawy Pzp.</w:t>
      </w:r>
    </w:p>
    <w:p w14:paraId="27E4FDB1" w14:textId="4118B88A" w:rsidR="00AD71F9" w:rsidRPr="00DD419F" w:rsidRDefault="00AD71F9" w:rsidP="00DD419F">
      <w:pPr>
        <w:pStyle w:val="Akapitzlist"/>
        <w:numPr>
          <w:ilvl w:val="0"/>
          <w:numId w:val="47"/>
        </w:numPr>
        <w:spacing w:after="40"/>
        <w:jc w:val="both"/>
        <w:rPr>
          <w:rFonts w:asciiTheme="majorHAnsi" w:hAnsiTheme="majorHAnsi" w:cstheme="majorHAnsi"/>
          <w:b/>
          <w:sz w:val="20"/>
          <w:szCs w:val="20"/>
          <w:u w:val="single"/>
        </w:rPr>
      </w:pPr>
      <w:r w:rsidRPr="00DD419F">
        <w:rPr>
          <w:rStyle w:val="fontstyle01"/>
          <w:rFonts w:asciiTheme="majorHAnsi" w:hAnsiTheme="majorHAnsi"/>
          <w:sz w:val="20"/>
          <w:szCs w:val="20"/>
        </w:rPr>
        <w:t>Zamawiający nie przewiduje rozliczenia w walutach obcych.</w:t>
      </w:r>
    </w:p>
    <w:p w14:paraId="7006975E" w14:textId="77777777" w:rsidR="00AD71F9" w:rsidRDefault="00AD71F9" w:rsidP="00AD71F9">
      <w:pPr>
        <w:pStyle w:val="Akapitzlist1"/>
        <w:spacing w:after="0"/>
        <w:contextualSpacing w:val="0"/>
        <w:jc w:val="both"/>
        <w:rPr>
          <w:rFonts w:asciiTheme="majorHAnsi" w:hAnsiTheme="majorHAnsi" w:cstheme="minorHAnsi"/>
          <w:sz w:val="20"/>
          <w:szCs w:val="20"/>
        </w:rPr>
      </w:pP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77777777" w:rsidR="00AD71F9" w:rsidRP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Realizacja zamówienia odbywać się będzie w następujących terminach:</w:t>
      </w:r>
    </w:p>
    <w:p w14:paraId="024B9F03" w14:textId="77777777" w:rsidR="00AD71F9" w:rsidRPr="00AD71F9" w:rsidRDefault="00AD71F9" w:rsidP="00AD71F9">
      <w:pPr>
        <w:pStyle w:val="Akapitzlist"/>
        <w:numPr>
          <w:ilvl w:val="0"/>
          <w:numId w:val="53"/>
        </w:numPr>
        <w:spacing w:before="240" w:line="276" w:lineRule="auto"/>
        <w:jc w:val="both"/>
        <w:rPr>
          <w:rFonts w:asciiTheme="majorHAnsi" w:eastAsiaTheme="minorEastAsia" w:hAnsiTheme="majorHAnsi" w:cstheme="minorHAnsi"/>
          <w:b/>
          <w:bCs/>
          <w:color w:val="000000" w:themeColor="text1"/>
          <w:sz w:val="20"/>
          <w:szCs w:val="20"/>
        </w:rPr>
      </w:pPr>
      <w:r w:rsidRPr="00AD71F9">
        <w:rPr>
          <w:rFonts w:asciiTheme="majorHAnsi" w:eastAsiaTheme="minorEastAsia" w:hAnsiTheme="majorHAnsi" w:cstheme="minorHAnsi"/>
          <w:bCs/>
          <w:color w:val="000000" w:themeColor="text1"/>
          <w:sz w:val="20"/>
          <w:szCs w:val="20"/>
        </w:rPr>
        <w:t>Szkolenie 1 –</w:t>
      </w:r>
      <w:r w:rsidRPr="00AD71F9">
        <w:rPr>
          <w:rFonts w:asciiTheme="majorHAnsi" w:eastAsiaTheme="minorEastAsia" w:hAnsiTheme="majorHAnsi" w:cstheme="minorHAnsi"/>
          <w:b/>
          <w:bCs/>
          <w:color w:val="000000" w:themeColor="text1"/>
          <w:sz w:val="20"/>
          <w:szCs w:val="20"/>
        </w:rPr>
        <w:t xml:space="preserve"> „Praktyczne aspekty technologii VR”</w:t>
      </w:r>
    </w:p>
    <w:p w14:paraId="2A1FF1CF" w14:textId="37C7D309" w:rsidR="00AD71F9" w:rsidRPr="00AD71F9" w:rsidRDefault="00AD71F9" w:rsidP="00AD71F9">
      <w:pPr>
        <w:pStyle w:val="Akapitzlist"/>
        <w:numPr>
          <w:ilvl w:val="0"/>
          <w:numId w:val="49"/>
        </w:numPr>
        <w:spacing w:after="200"/>
        <w:ind w:left="1797" w:hanging="357"/>
        <w:jc w:val="both"/>
        <w:rPr>
          <w:rFonts w:asciiTheme="majorHAnsi" w:eastAsiaTheme="minorEastAsia" w:hAnsiTheme="majorHAnsi" w:cstheme="minorHAnsi"/>
          <w:color w:val="000000" w:themeColor="text1"/>
          <w:sz w:val="20"/>
          <w:szCs w:val="20"/>
          <w:lang w:val=""/>
        </w:rPr>
      </w:pPr>
      <w:r w:rsidRPr="00AD71F9">
        <w:rPr>
          <w:rFonts w:asciiTheme="majorHAnsi" w:eastAsiaTheme="minorEastAsia" w:hAnsiTheme="majorHAnsi" w:cstheme="minorHAnsi"/>
          <w:color w:val="000000" w:themeColor="text1"/>
          <w:sz w:val="20"/>
          <w:szCs w:val="20"/>
          <w:lang w:val=""/>
        </w:rPr>
        <w:t>szkolenia zrealizowane od dnia 01.0</w:t>
      </w:r>
      <w:r w:rsidR="0004426F">
        <w:rPr>
          <w:rFonts w:asciiTheme="majorHAnsi" w:eastAsiaTheme="minorEastAsia" w:hAnsiTheme="majorHAnsi" w:cstheme="minorHAnsi"/>
          <w:color w:val="000000" w:themeColor="text1"/>
          <w:sz w:val="20"/>
          <w:szCs w:val="20"/>
          <w:lang w:val=""/>
        </w:rPr>
        <w:t>4</w:t>
      </w:r>
      <w:r w:rsidRPr="00AD71F9">
        <w:rPr>
          <w:rFonts w:asciiTheme="majorHAnsi" w:eastAsiaTheme="minorEastAsia" w:hAnsiTheme="majorHAnsi" w:cstheme="minorHAnsi"/>
          <w:color w:val="000000" w:themeColor="text1"/>
          <w:sz w:val="20"/>
          <w:szCs w:val="20"/>
          <w:lang w:val=""/>
        </w:rPr>
        <w:t>.2023 r. do dnia 30.06.2023 r.</w:t>
      </w:r>
    </w:p>
    <w:p w14:paraId="268C6320" w14:textId="77777777" w:rsidR="00AD71F9" w:rsidRPr="00AD71F9" w:rsidRDefault="00AD71F9" w:rsidP="00AD71F9">
      <w:pPr>
        <w:pStyle w:val="Akapitzlist"/>
        <w:numPr>
          <w:ilvl w:val="0"/>
          <w:numId w:val="53"/>
        </w:numPr>
        <w:spacing w:before="240" w:line="276" w:lineRule="auto"/>
        <w:jc w:val="both"/>
        <w:rPr>
          <w:rFonts w:asciiTheme="majorHAnsi" w:eastAsiaTheme="minorEastAsia" w:hAnsiTheme="majorHAnsi" w:cstheme="minorHAnsi"/>
          <w:b/>
          <w:bCs/>
          <w:color w:val="000000" w:themeColor="text1"/>
          <w:sz w:val="20"/>
          <w:szCs w:val="20"/>
        </w:rPr>
      </w:pPr>
      <w:r w:rsidRPr="00AD71F9">
        <w:rPr>
          <w:rFonts w:asciiTheme="majorHAnsi" w:eastAsiaTheme="minorEastAsia" w:hAnsiTheme="majorHAnsi" w:cstheme="minorHAnsi"/>
          <w:bCs/>
          <w:color w:val="000000" w:themeColor="text1"/>
          <w:sz w:val="20"/>
          <w:szCs w:val="20"/>
        </w:rPr>
        <w:t>Szkolenie 2 -</w:t>
      </w:r>
      <w:r w:rsidRPr="00AD71F9">
        <w:rPr>
          <w:rFonts w:asciiTheme="majorHAnsi" w:eastAsiaTheme="minorEastAsia" w:hAnsiTheme="majorHAnsi" w:cstheme="minorHAnsi"/>
          <w:b/>
          <w:bCs/>
          <w:color w:val="000000" w:themeColor="text1"/>
          <w:sz w:val="20"/>
          <w:szCs w:val="20"/>
        </w:rPr>
        <w:t xml:space="preserve"> „Internet rzeczy”</w:t>
      </w:r>
    </w:p>
    <w:p w14:paraId="4D805976" w14:textId="4B576BC2" w:rsidR="00AD71F9" w:rsidRPr="00AD71F9" w:rsidRDefault="00AD71F9" w:rsidP="00AD71F9">
      <w:pPr>
        <w:pStyle w:val="Akapitzlist"/>
        <w:numPr>
          <w:ilvl w:val="0"/>
          <w:numId w:val="49"/>
        </w:numPr>
        <w:spacing w:after="200"/>
        <w:ind w:left="1797" w:hanging="357"/>
        <w:jc w:val="both"/>
        <w:rPr>
          <w:rFonts w:asciiTheme="majorHAnsi" w:eastAsiaTheme="minorEastAsia" w:hAnsiTheme="majorHAnsi" w:cstheme="minorHAnsi"/>
          <w:color w:val="000000" w:themeColor="text1"/>
          <w:sz w:val="20"/>
          <w:szCs w:val="20"/>
          <w:lang w:val=""/>
        </w:rPr>
      </w:pPr>
      <w:r w:rsidRPr="00AD71F9">
        <w:rPr>
          <w:rFonts w:asciiTheme="majorHAnsi" w:eastAsiaTheme="minorEastAsia" w:hAnsiTheme="majorHAnsi" w:cstheme="minorHAnsi"/>
          <w:color w:val="000000" w:themeColor="text1"/>
          <w:sz w:val="20"/>
          <w:szCs w:val="20"/>
          <w:lang w:val=""/>
        </w:rPr>
        <w:t>szkolenia zrealizowane od dnia 01.0</w:t>
      </w:r>
      <w:r w:rsidR="0004426F">
        <w:rPr>
          <w:rFonts w:asciiTheme="majorHAnsi" w:eastAsiaTheme="minorEastAsia" w:hAnsiTheme="majorHAnsi" w:cstheme="minorHAnsi"/>
          <w:color w:val="000000" w:themeColor="text1"/>
          <w:sz w:val="20"/>
          <w:szCs w:val="20"/>
          <w:lang w:val=""/>
        </w:rPr>
        <w:t>4</w:t>
      </w:r>
      <w:r w:rsidRPr="00AD71F9">
        <w:rPr>
          <w:rFonts w:asciiTheme="majorHAnsi" w:eastAsiaTheme="minorEastAsia" w:hAnsiTheme="majorHAnsi" w:cstheme="minorHAnsi"/>
          <w:color w:val="000000" w:themeColor="text1"/>
          <w:sz w:val="20"/>
          <w:szCs w:val="20"/>
          <w:lang w:val=""/>
        </w:rPr>
        <w:t>.2023 r. do dnia 30.06.2023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0"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5C6CD59B" w:rsidR="00FF5CC4" w:rsidRDefault="00547D88"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p w14:paraId="564B882E" w14:textId="77777777" w:rsidR="00B90649" w:rsidRPr="00DC0880" w:rsidRDefault="00B90649" w:rsidP="00B90649">
      <w:pPr>
        <w:pStyle w:val="Teksttreci0"/>
        <w:shd w:val="clear" w:color="auto" w:fill="auto"/>
        <w:spacing w:line="276" w:lineRule="auto"/>
        <w:ind w:left="852" w:right="20" w:firstLine="0"/>
        <w:jc w:val="both"/>
        <w:rPr>
          <w:rStyle w:val="fontstyle01"/>
          <w:rFonts w:asciiTheme="majorHAnsi" w:hAnsiTheme="majorHAnsi" w:cs="Times New Roman"/>
          <w:b/>
          <w:color w:val="auto"/>
          <w:sz w:val="20"/>
          <w:szCs w:val="20"/>
          <w:lang w:val="pl-PL"/>
        </w:rPr>
      </w:pP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5114505E" w:rsidR="007301A0" w:rsidRPr="00DC088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posiadania potencjału technicznego:</w:t>
            </w:r>
          </w:p>
          <w:p w14:paraId="0D0CDB26" w14:textId="77777777" w:rsidR="0004426F" w:rsidRPr="0004426F" w:rsidRDefault="0004426F" w:rsidP="0004426F">
            <w:pPr>
              <w:spacing w:before="240" w:line="276" w:lineRule="auto"/>
              <w:jc w:val="both"/>
              <w:rPr>
                <w:rFonts w:asciiTheme="majorHAnsi" w:hAnsiTheme="majorHAnsi" w:cs="Calibri Light"/>
                <w:kern w:val="1"/>
                <w:sz w:val="20"/>
                <w:szCs w:val="20"/>
                <w:lang w:val="x-none" w:eastAsia="x-none"/>
              </w:rPr>
            </w:pPr>
            <w:r w:rsidRPr="0004426F">
              <w:rPr>
                <w:rFonts w:asciiTheme="majorHAnsi" w:hAnsiTheme="majorHAnsi" w:cs="Calibri Light"/>
                <w:kern w:val="1"/>
                <w:sz w:val="20"/>
                <w:szCs w:val="20"/>
                <w:lang w:eastAsia="x-none"/>
              </w:rPr>
              <w:t xml:space="preserve">Szkolenie </w:t>
            </w:r>
            <w:r w:rsidRPr="0004426F">
              <w:rPr>
                <w:rFonts w:asciiTheme="majorHAnsi" w:eastAsiaTheme="minorEastAsia" w:hAnsiTheme="majorHAnsi" w:cstheme="minorHAnsi"/>
                <w:b/>
                <w:bCs/>
                <w:sz w:val="20"/>
                <w:szCs w:val="20"/>
                <w:u w:val="single"/>
              </w:rPr>
              <w:t xml:space="preserve">”Praktyczne aspekty technologii VR” – 20 godzin/1 osobę </w:t>
            </w:r>
            <w:r w:rsidRPr="0004426F">
              <w:rPr>
                <w:rFonts w:asciiTheme="majorHAnsi" w:hAnsiTheme="majorHAnsi" w:cs="Calibri Light"/>
                <w:kern w:val="1"/>
                <w:sz w:val="20"/>
                <w:szCs w:val="20"/>
                <w:lang w:eastAsia="x-none"/>
              </w:rPr>
              <w:t xml:space="preserve">: </w:t>
            </w:r>
          </w:p>
          <w:p w14:paraId="413FEDD6" w14:textId="77777777" w:rsidR="0004426F" w:rsidRPr="0004426F" w:rsidRDefault="0004426F" w:rsidP="0004426F">
            <w:pPr>
              <w:spacing w:after="200" w:line="276" w:lineRule="auto"/>
              <w:jc w:val="both"/>
              <w:rPr>
                <w:rFonts w:asciiTheme="majorHAnsi" w:eastAsiaTheme="minorEastAsia" w:hAnsiTheme="majorHAnsi" w:cstheme="minorHAnsi"/>
                <w:sz w:val="20"/>
                <w:szCs w:val="20"/>
              </w:rPr>
            </w:pPr>
            <w:r w:rsidRPr="0004426F">
              <w:rPr>
                <w:rFonts w:asciiTheme="majorHAnsi" w:hAnsiTheme="majorHAnsi" w:cs="Calibri Light"/>
                <w:kern w:val="1"/>
                <w:sz w:val="20"/>
                <w:szCs w:val="20"/>
                <w:lang w:val="x-none" w:eastAsia="x-none"/>
              </w:rPr>
              <w:lastRenderedPageBreak/>
              <w:t>Zamawiający uzna warunek za spełniony jeżeli Wykonawca wykaże, że dysponuje lub będzie dysponował</w:t>
            </w:r>
            <w:r w:rsidRPr="0004426F">
              <w:rPr>
                <w:rFonts w:asciiTheme="majorHAnsi" w:hAnsiTheme="majorHAnsi" w:cs="Calibri Light"/>
                <w:kern w:val="1"/>
                <w:sz w:val="20"/>
                <w:szCs w:val="20"/>
                <w:lang w:eastAsia="x-none"/>
              </w:rPr>
              <w:t xml:space="preserve"> sprzętem specjalistycznym, niezbędnym do prawidłowego przeprowadzenia szkolenia </w:t>
            </w:r>
            <w:r w:rsidRPr="0004426F">
              <w:rPr>
                <w:rFonts w:asciiTheme="majorHAnsi" w:eastAsiaTheme="minorEastAsia" w:hAnsiTheme="majorHAnsi" w:cstheme="minorHAnsi"/>
                <w:b/>
                <w:bCs/>
                <w:sz w:val="20"/>
                <w:szCs w:val="20"/>
                <w:u w:val="single"/>
              </w:rPr>
              <w:t>”Praktyczne aspekty technologii VR”</w:t>
            </w:r>
            <w:r w:rsidRPr="0004426F">
              <w:rPr>
                <w:rFonts w:asciiTheme="majorHAnsi" w:hAnsiTheme="majorHAnsi" w:cs="Calibri Light"/>
                <w:kern w:val="1"/>
                <w:sz w:val="20"/>
                <w:szCs w:val="20"/>
                <w:lang w:eastAsia="x-none"/>
              </w:rPr>
              <w:t xml:space="preserve">. </w:t>
            </w:r>
            <w:r w:rsidRPr="0004426F">
              <w:rPr>
                <w:rFonts w:asciiTheme="majorHAnsi" w:eastAsiaTheme="minorEastAsia" w:hAnsiTheme="majorHAnsi" w:cstheme="minorHAnsi"/>
                <w:sz w:val="20"/>
                <w:szCs w:val="20"/>
              </w:rPr>
              <w:t>Wymagany sprzęt, który Wykonawca powinien zapewnić i użyć w trakcie szkolenia  (dopuszczalne są wersje nowsze poniższego sprzętu, jeżeli w chwili składania oferty niedostępne będą na rynku poniższe wersje)*:</w:t>
            </w:r>
          </w:p>
          <w:p w14:paraId="4C940AF3"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 xml:space="preserve">a) Microsoft HoloLens  Developement Edition 1 szt., stacja graficzna niezbędna do obsługi zestawu gogli VR z niezbędnym oprogramowaniem, gogle wyposażone w kontroler do odwzorowania ruchu dłoni </w:t>
            </w:r>
          </w:p>
          <w:p w14:paraId="6674EECE"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b) zestaw wirtualnej rzeczywistości (VR) 1 szt. gogle i kontrolery wraz z niezbędnym sprzętem: HTC Vive Pro. Rękawice do rozszerzonej rzeczywistości (AR) CaptoGlove Large + CaptoSensor  (lub odpowiednik zapewniający prezentację takich samych możliwości użycia w projektach programistycznych). Stacja graficzna niezbędna do obsługi zestawu gogli i rękawicy VR z niezbędnym oprogramowaniem.</w:t>
            </w:r>
          </w:p>
          <w:p w14:paraId="2EFA4F92"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 xml:space="preserve">c) zestaw wirtualnej rzeczywistości (VR) 1 szt. gogle wraz z niezbędnym sprzętem: PlayStation VR, konsola PlayStation, </w:t>
            </w:r>
          </w:p>
          <w:p w14:paraId="53CB5BBF"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d) zestaw wirtualnej rzeczywistości (VR) 1 szt. gogle i kontrolery wraz z niezbędnym sprzętem: Oculus Rift, stacja graficzna niezbędna do obsługi zestawu gogli z niezbędnym oprogramowaniem</w:t>
            </w:r>
          </w:p>
          <w:p w14:paraId="3B8B81B5"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 xml:space="preserve">e) mobilny zestaw wirtualnej rzeczywistości (VR) 1 szt.: Gogle Gear VR i/lub Google Daydream View, niezbędne urządzenia mobilne z systemem Android </w:t>
            </w:r>
          </w:p>
          <w:p w14:paraId="71FBD5FE"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 xml:space="preserve">f) programowalna platforma mobilna 4 szt., wyposażona w komunikację USB, bluetooth, wifi,  akcelerometr, czujnik odległości, możliwość programowanie w języku c++, </w:t>
            </w:r>
          </w:p>
          <w:p w14:paraId="654D57EC"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g) programowalna platforma mobilna 2 szt., wyposażona w komunikację USB, bluetooth, wifi, wyposażona minimum w dwa koła skrętne sterowane za pomocą serwomechanizmu, napęd z wykorzystaniem silnika DC, wyposażona w wymienne czujniki: odległości 2 szt., akcelerometr 1 szt., tor wizyjny fpv (kamera, monitor, gogle), możliwość programowanie w języku c++,</w:t>
            </w:r>
          </w:p>
          <w:p w14:paraId="6332F33E"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 xml:space="preserve">h) skaner 3D, </w:t>
            </w:r>
          </w:p>
          <w:p w14:paraId="34AA6AB0" w14:textId="77777777" w:rsidR="0004426F" w:rsidRPr="0004426F" w:rsidRDefault="0004426F" w:rsidP="0004426F">
            <w:pPr>
              <w:spacing w:line="276" w:lineRule="auto"/>
              <w:ind w:left="283" w:hanging="283"/>
              <w:jc w:val="both"/>
              <w:rPr>
                <w:rFonts w:asciiTheme="majorHAnsi" w:hAnsiTheme="majorHAnsi"/>
                <w:sz w:val="20"/>
                <w:szCs w:val="20"/>
              </w:rPr>
            </w:pPr>
            <w:r w:rsidRPr="0004426F">
              <w:rPr>
                <w:rFonts w:asciiTheme="majorHAnsi" w:hAnsiTheme="majorHAnsi"/>
                <w:sz w:val="20"/>
                <w:szCs w:val="20"/>
              </w:rPr>
              <w:t>i) nie dopuszcza się realizacji szkolenia za pomocą sprzętu opartego na Lego Mindstorm lub podobnych platformach.</w:t>
            </w:r>
          </w:p>
          <w:p w14:paraId="08CBC1A0" w14:textId="77777777" w:rsidR="0004426F" w:rsidRPr="0004426F" w:rsidRDefault="0004426F" w:rsidP="0004426F">
            <w:pPr>
              <w:spacing w:line="276" w:lineRule="auto"/>
              <w:jc w:val="both"/>
              <w:rPr>
                <w:rFonts w:asciiTheme="majorHAnsi" w:hAnsiTheme="majorHAnsi"/>
                <w:sz w:val="20"/>
                <w:szCs w:val="20"/>
              </w:rPr>
            </w:pPr>
            <w:r w:rsidRPr="0004426F">
              <w:rPr>
                <w:rFonts w:asciiTheme="majorHAnsi" w:hAnsiTheme="majorHAnsi"/>
                <w:sz w:val="20"/>
                <w:szCs w:val="20"/>
              </w:rPr>
              <w:t>Rozwiązania sprzętowe (platformy) muszą być oparte na procesorze z rodziny AVR lub ARM, gdyż chodzi o rozwiązania oparte na technologiach zbliżonych maksymalnie do rozwiązań profesjonalnych.</w:t>
            </w:r>
          </w:p>
          <w:p w14:paraId="0BCFC8E2" w14:textId="77777777" w:rsidR="0004426F" w:rsidRPr="0004426F" w:rsidRDefault="0004426F" w:rsidP="0004426F">
            <w:pPr>
              <w:spacing w:after="200" w:line="276" w:lineRule="auto"/>
              <w:jc w:val="both"/>
              <w:rPr>
                <w:rFonts w:asciiTheme="majorHAnsi" w:eastAsiaTheme="minorEastAsia" w:hAnsiTheme="majorHAnsi" w:cstheme="minorHAnsi"/>
                <w:bCs/>
                <w:color w:val="000000" w:themeColor="text1"/>
                <w:sz w:val="20"/>
                <w:szCs w:val="20"/>
              </w:rPr>
            </w:pPr>
            <w:r w:rsidRPr="0004426F">
              <w:rPr>
                <w:rFonts w:asciiTheme="majorHAnsi" w:hAnsiTheme="majorHAnsi" w:cstheme="minorHAnsi"/>
                <w:sz w:val="20"/>
                <w:szCs w:val="20"/>
              </w:rPr>
              <w:t>Przy składaniu oferty należy załączyć listę wraz z specyfikacją sprzętu, którego oferent zamierza użyć do realizacji szkoleń</w:t>
            </w:r>
          </w:p>
          <w:p w14:paraId="3D5A2A98" w14:textId="77777777" w:rsidR="0004426F" w:rsidRPr="0004426F" w:rsidRDefault="0004426F" w:rsidP="0004426F">
            <w:pPr>
              <w:spacing w:before="240" w:line="276" w:lineRule="auto"/>
              <w:jc w:val="both"/>
              <w:rPr>
                <w:rFonts w:asciiTheme="majorHAnsi" w:eastAsiaTheme="minorEastAsia" w:hAnsiTheme="majorHAnsi" w:cstheme="minorHAnsi"/>
                <w:b/>
                <w:bCs/>
                <w:color w:val="000000" w:themeColor="text1"/>
                <w:sz w:val="20"/>
                <w:szCs w:val="20"/>
              </w:rPr>
            </w:pPr>
            <w:r w:rsidRPr="0004426F">
              <w:rPr>
                <w:rFonts w:asciiTheme="majorHAnsi" w:eastAsiaTheme="minorEastAsia" w:hAnsiTheme="majorHAnsi" w:cstheme="minorHAnsi"/>
                <w:bCs/>
                <w:color w:val="000000" w:themeColor="text1"/>
                <w:sz w:val="20"/>
                <w:szCs w:val="20"/>
              </w:rPr>
              <w:t>Szkolenie -</w:t>
            </w:r>
            <w:r w:rsidRPr="0004426F">
              <w:rPr>
                <w:rFonts w:asciiTheme="majorHAnsi" w:eastAsiaTheme="minorEastAsia" w:hAnsiTheme="majorHAnsi" w:cstheme="minorHAnsi"/>
                <w:b/>
                <w:bCs/>
                <w:color w:val="000000" w:themeColor="text1"/>
                <w:sz w:val="20"/>
                <w:szCs w:val="20"/>
              </w:rPr>
              <w:t xml:space="preserve"> </w:t>
            </w:r>
            <w:r w:rsidRPr="0004426F">
              <w:rPr>
                <w:rFonts w:asciiTheme="majorHAnsi" w:eastAsiaTheme="minorEastAsia" w:hAnsiTheme="majorHAnsi" w:cstheme="minorHAnsi"/>
                <w:b/>
                <w:bCs/>
                <w:color w:val="000000" w:themeColor="text1"/>
                <w:sz w:val="20"/>
                <w:szCs w:val="20"/>
                <w:u w:val="single"/>
              </w:rPr>
              <w:t xml:space="preserve">„Internet rzeczy” </w:t>
            </w:r>
            <w:r w:rsidRPr="0004426F">
              <w:rPr>
                <w:rFonts w:asciiTheme="majorHAnsi" w:eastAsiaTheme="minorEastAsia" w:hAnsiTheme="majorHAnsi" w:cstheme="minorHAnsi"/>
                <w:b/>
                <w:bCs/>
                <w:sz w:val="20"/>
                <w:szCs w:val="20"/>
                <w:u w:val="single"/>
              </w:rPr>
              <w:t>– 24 godziny/1 osobę</w:t>
            </w:r>
          </w:p>
          <w:p w14:paraId="4720CE4D" w14:textId="77777777" w:rsidR="0004426F" w:rsidRPr="0004426F" w:rsidRDefault="0004426F" w:rsidP="0004426F">
            <w:pPr>
              <w:spacing w:after="200" w:line="276" w:lineRule="auto"/>
              <w:jc w:val="both"/>
              <w:rPr>
                <w:rFonts w:asciiTheme="majorHAnsi" w:eastAsiaTheme="minorEastAsia" w:hAnsiTheme="majorHAnsi" w:cstheme="minorHAnsi"/>
                <w:b/>
                <w:bCs/>
                <w:color w:val="000000" w:themeColor="text1"/>
                <w:sz w:val="20"/>
                <w:szCs w:val="20"/>
                <w:u w:val="single"/>
              </w:rPr>
            </w:pPr>
            <w:r w:rsidRPr="0004426F">
              <w:rPr>
                <w:rFonts w:asciiTheme="majorHAnsi" w:hAnsiTheme="majorHAnsi" w:cs="Calibri Light"/>
                <w:kern w:val="1"/>
                <w:sz w:val="20"/>
                <w:szCs w:val="20"/>
                <w:lang w:val="x-none" w:eastAsia="x-none"/>
              </w:rPr>
              <w:t>Zamawiający uzna warunek za spełniony jeżeli Wykonawca wykaże, że dysponuje lub będzie dysponował</w:t>
            </w:r>
            <w:r w:rsidRPr="0004426F">
              <w:rPr>
                <w:rFonts w:asciiTheme="majorHAnsi" w:hAnsiTheme="majorHAnsi" w:cs="Calibri Light"/>
                <w:kern w:val="1"/>
                <w:sz w:val="20"/>
                <w:szCs w:val="20"/>
                <w:lang w:eastAsia="x-none"/>
              </w:rPr>
              <w:t xml:space="preserve"> sprzętem specjalistycznym, niezbędnym do prawidłowego przeprowadzenia szkolenia 2</w:t>
            </w:r>
            <w:r w:rsidRPr="0004426F">
              <w:rPr>
                <w:rFonts w:asciiTheme="majorHAnsi" w:eastAsiaTheme="minorEastAsia" w:hAnsiTheme="majorHAnsi" w:cstheme="minorHAnsi"/>
                <w:bCs/>
                <w:color w:val="000000" w:themeColor="text1"/>
                <w:sz w:val="20"/>
                <w:szCs w:val="20"/>
              </w:rPr>
              <w:t xml:space="preserve"> -</w:t>
            </w:r>
            <w:r w:rsidRPr="0004426F">
              <w:rPr>
                <w:rFonts w:asciiTheme="majorHAnsi" w:eastAsiaTheme="minorEastAsia" w:hAnsiTheme="majorHAnsi" w:cstheme="minorHAnsi"/>
                <w:b/>
                <w:bCs/>
                <w:color w:val="000000" w:themeColor="text1"/>
                <w:sz w:val="20"/>
                <w:szCs w:val="20"/>
              </w:rPr>
              <w:t xml:space="preserve"> „Internet rzeczy”.</w:t>
            </w:r>
            <w:r w:rsidRPr="0004426F">
              <w:rPr>
                <w:rFonts w:asciiTheme="majorHAnsi" w:hAnsiTheme="majorHAnsi" w:cs="Calibri Light"/>
                <w:kern w:val="1"/>
                <w:sz w:val="20"/>
                <w:szCs w:val="20"/>
                <w:lang w:eastAsia="x-none"/>
              </w:rPr>
              <w:t xml:space="preserve"> </w:t>
            </w:r>
            <w:r w:rsidRPr="0004426F">
              <w:rPr>
                <w:rFonts w:asciiTheme="majorHAnsi" w:eastAsiaTheme="minorEastAsia" w:hAnsiTheme="majorHAnsi" w:cstheme="minorHAnsi"/>
                <w:color w:val="000000" w:themeColor="text1"/>
                <w:sz w:val="20"/>
                <w:szCs w:val="20"/>
              </w:rPr>
              <w:t>Wymagany sprzęt, który Wykonawca ma  zapewnić i użyć w trakcie szkolenia  (dopuszczalne są wersje nowsze poniższego sprzętu, jeżeli w chwili składania oferty niedostępne będą na rynku poniższe wersje)*:</w:t>
            </w:r>
          </w:p>
          <w:p w14:paraId="50974BF2" w14:textId="77777777" w:rsidR="0004426F" w:rsidRPr="0004426F" w:rsidRDefault="0004426F" w:rsidP="0004426F">
            <w:pPr>
              <w:spacing w:line="264" w:lineRule="auto"/>
              <w:jc w:val="both"/>
              <w:rPr>
                <w:rFonts w:asciiTheme="majorHAnsi" w:eastAsiaTheme="minorEastAsia" w:hAnsiTheme="majorHAnsi" w:cstheme="minorHAnsi"/>
                <w:color w:val="000000" w:themeColor="text1"/>
                <w:sz w:val="20"/>
                <w:szCs w:val="20"/>
                <w:u w:val="single"/>
              </w:rPr>
            </w:pPr>
            <w:r w:rsidRPr="0004426F">
              <w:rPr>
                <w:rFonts w:asciiTheme="majorHAnsi" w:eastAsiaTheme="minorEastAsia" w:hAnsiTheme="majorHAnsi" w:cstheme="minorHAnsi"/>
                <w:color w:val="000000" w:themeColor="text1"/>
                <w:sz w:val="20"/>
                <w:szCs w:val="20"/>
                <w:u w:val="single"/>
              </w:rPr>
              <w:t>Moduł 1:</w:t>
            </w:r>
          </w:p>
          <w:p w14:paraId="574952F0"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komputer jednopłytkowy z otwartym systemem operacyjnym wyposażony w min.:  1xHDMI, H.246, MPG 4 decode, H. 246 encode, OperGL ES 2.0, Quad-Core ARM Cortex-A53 1,4 GHz, 1 GB LPDDR2@900 MHz, Ethernet 300 Mbps, 2,4 GHz i 5 GHz, 802.11 b/g/n/ac, BLE 4.2 - sztuk 10;</w:t>
            </w:r>
          </w:p>
          <w:p w14:paraId="32FF9ABA"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karty micro SD 8 GB co najmniej class 10 - 10 sztuk;</w:t>
            </w:r>
          </w:p>
          <w:p w14:paraId="12DFADBC"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klawiatury usb i myszki/ lub klawiatura z touchpadem - 10 sztuk</w:t>
            </w:r>
          </w:p>
          <w:p w14:paraId="2A18C8CF"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 xml:space="preserve">moduły z-wave - 10 sztuk </w:t>
            </w:r>
          </w:p>
          <w:p w14:paraId="13DC79EE"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przekaźniki wifi (np. Blebox, Shelly) - 10 sztuk</w:t>
            </w:r>
          </w:p>
          <w:p w14:paraId="0C3E52F1"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czujniki ruchu pir - 10 sztuk</w:t>
            </w:r>
          </w:p>
          <w:p w14:paraId="4E0092DC"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czujniki temperatury - 10 sztuk</w:t>
            </w:r>
          </w:p>
          <w:p w14:paraId="070EDB51"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makieta domu z czujnikami ruchu, temperatury, przekaźnikami wifi - 5 sztuk.</w:t>
            </w:r>
          </w:p>
          <w:p w14:paraId="60005A49" w14:textId="77777777" w:rsidR="0004426F" w:rsidRPr="0004426F" w:rsidRDefault="0004426F" w:rsidP="0004426F">
            <w:pPr>
              <w:spacing w:line="264" w:lineRule="auto"/>
              <w:jc w:val="both"/>
              <w:rPr>
                <w:rFonts w:asciiTheme="majorHAnsi" w:eastAsiaTheme="minorEastAsia" w:hAnsiTheme="majorHAnsi"/>
                <w:color w:val="000000" w:themeColor="text1"/>
                <w:sz w:val="20"/>
                <w:szCs w:val="20"/>
              </w:rPr>
            </w:pPr>
            <w:r w:rsidRPr="0004426F">
              <w:rPr>
                <w:rFonts w:asciiTheme="majorHAnsi" w:eastAsiaTheme="minorEastAsia" w:hAnsiTheme="majorHAnsi"/>
                <w:color w:val="000000" w:themeColor="text1"/>
                <w:sz w:val="20"/>
                <w:szCs w:val="20"/>
              </w:rPr>
              <w:t xml:space="preserve"> </w:t>
            </w:r>
            <w:r w:rsidRPr="0004426F">
              <w:rPr>
                <w:rFonts w:asciiTheme="majorHAnsi" w:eastAsiaTheme="minorEastAsia" w:hAnsiTheme="majorHAnsi" w:cstheme="minorHAnsi"/>
                <w:bCs/>
                <w:color w:val="000000" w:themeColor="text1"/>
                <w:sz w:val="20"/>
                <w:szCs w:val="20"/>
                <w:u w:val="single"/>
              </w:rPr>
              <w:t>Moduł 2:</w:t>
            </w:r>
          </w:p>
          <w:p w14:paraId="089494A4"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 xml:space="preserve">stacje lutownicze (minimalne wymagania co do specyfikacji): układ regulacji temperatury z czujnikiem w grzałce umożliwiający regulację w zakresie 150°C + 480°C, uziemienie grota, podstawka z czyścikiem grotów, grot lutowniczy stożkowy 0,8mm, po jednej dla każdego uczestnika szkolenia, </w:t>
            </w:r>
          </w:p>
          <w:p w14:paraId="4716FD31"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 xml:space="preserve">niezbędne materiały do lutowania, </w:t>
            </w:r>
          </w:p>
          <w:p w14:paraId="57FC21AF"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 xml:space="preserve">płytki prototypowe, </w:t>
            </w:r>
          </w:p>
          <w:p w14:paraId="7EA50B17"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elementy składowe i płytka dla przetwornika AC/PC (zasilanie 5V, połączenie z komputerem poprzez port RS232 lub USB), niezbędnego do realizacji zadań z zakresu lutowania przewidzianych programem szkolenia;</w:t>
            </w:r>
          </w:p>
          <w:p w14:paraId="1CA76D5D" w14:textId="77777777" w:rsidR="0004426F" w:rsidRPr="0004426F" w:rsidRDefault="0004426F" w:rsidP="0004426F">
            <w:pPr>
              <w:spacing w:line="264" w:lineRule="auto"/>
              <w:jc w:val="both"/>
              <w:rPr>
                <w:rFonts w:eastAsiaTheme="minorEastAsia" w:cstheme="minorHAnsi"/>
                <w:color w:val="000000" w:themeColor="text1"/>
                <w:sz w:val="20"/>
                <w:szCs w:val="20"/>
              </w:rPr>
            </w:pPr>
            <w:r w:rsidRPr="0004426F">
              <w:rPr>
                <w:rFonts w:eastAsiaTheme="minorEastAsia" w:cstheme="minorHAnsi"/>
                <w:color w:val="000000" w:themeColor="text1"/>
                <w:sz w:val="20"/>
                <w:szCs w:val="20"/>
              </w:rPr>
              <w:lastRenderedPageBreak/>
              <w:t xml:space="preserve"> </w:t>
            </w:r>
            <w:r w:rsidRPr="0004426F">
              <w:rPr>
                <w:rFonts w:asciiTheme="majorHAnsi" w:hAnsiTheme="majorHAnsi"/>
                <w:color w:val="000000"/>
                <w:sz w:val="20"/>
                <w:szCs w:val="20"/>
                <w:u w:val="single"/>
              </w:rPr>
              <w:t>Moduł 3:</w:t>
            </w:r>
          </w:p>
          <w:p w14:paraId="5E1B53F0"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co najmniej 1 punkt dostępowy sieci WiFi z możliwością komunikacji przez uczestników zajęć</w:t>
            </w:r>
          </w:p>
          <w:p w14:paraId="596FFF25"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moduł rozwojowy WiFi oparty na układzie ESP8266-12F, 10-bitowe ADC, napięcie 5V, 3.3V, 10GPIO (WPM, I2C), min. 4 MB Flash, microUSB, USB-UART CP2102, PCB, IEEE 802.11 b/g/n (Station/SoftAP/SoftAP + Station), programowane za pomocą języka Lua, MicroPython, komend AT, Arduino, itp., - w ilości przynajmniej 1 szt. dla każdego uczestnika  zajęć</w:t>
            </w:r>
          </w:p>
          <w:p w14:paraId="389C09EE"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moduł rozwojowy wyposażony w układ komunikacji bezprzewodowej ESP32, GPIO, I2C, I2S, SPI, UART, 2,4 GHz, WiFi 802.11 b/g/n, zasilanie od 3,3 V do 5 V, flash: 4 MB, PSRAM: 2 MB,  antena wbudowana PCB, microUSB, zasilanie: microUSB , 5V, 3.3V, przyciski: Boot, Reset - w ilości przynajmniej 1 szt. dla każdego uczestnika zajęć</w:t>
            </w:r>
          </w:p>
          <w:p w14:paraId="5535C0FB"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 xml:space="preserve">co najmniej 2 czujniki dla każdego uczestnika zajęć, które można podłączyć do obu modułów rozwojowych </w:t>
            </w:r>
          </w:p>
          <w:p w14:paraId="0A394F01"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kompletny zestaw okablowania, który umożliwia programowanie obu modułów rozwojowych  oraz podłączenie czujników wykorzystywanych w trakcie zajęć</w:t>
            </w:r>
          </w:p>
          <w:p w14:paraId="53988977" w14:textId="77777777" w:rsidR="0004426F" w:rsidRP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układ zasilania do modułów rozwojowych pozwalający na przeprowadzenie zajęć</w:t>
            </w:r>
          </w:p>
          <w:p w14:paraId="1DDE8B99" w14:textId="30A8FCE2" w:rsidR="0004426F" w:rsidRDefault="0004426F" w:rsidP="0004426F">
            <w:pPr>
              <w:pStyle w:val="Akapitzlist"/>
              <w:numPr>
                <w:ilvl w:val="0"/>
                <w:numId w:val="49"/>
              </w:numPr>
              <w:spacing w:line="276" w:lineRule="auto"/>
              <w:ind w:left="709"/>
              <w:jc w:val="both"/>
              <w:rPr>
                <w:rFonts w:asciiTheme="majorHAnsi" w:eastAsiaTheme="minorEastAsia" w:hAnsiTheme="majorHAnsi" w:cstheme="minorHAnsi"/>
                <w:color w:val="000000" w:themeColor="text1"/>
                <w:sz w:val="20"/>
                <w:szCs w:val="20"/>
              </w:rPr>
            </w:pPr>
            <w:r w:rsidRPr="0004426F">
              <w:rPr>
                <w:rFonts w:asciiTheme="majorHAnsi" w:eastAsiaTheme="minorEastAsia" w:hAnsiTheme="majorHAnsi" w:cstheme="minorHAnsi"/>
                <w:color w:val="000000" w:themeColor="text1"/>
                <w:sz w:val="20"/>
                <w:szCs w:val="20"/>
              </w:rPr>
              <w:t>programowalna platforma mobilna 2 szt., wyposażona w komunikację USB, bluetooth, wifi (tryb acces point i karty sieciowej), wyposażona minimum w dwa koła skrętne sterowane za pomocą serwomechanizmu, napęd z wykorzystaniem silnika DC, wyposażona w wymienne czujniki: odległości 2 szt., akcelerometr 1 szt., możliwość programowanie w języku c++, wyświetlacz OLED.</w:t>
            </w:r>
          </w:p>
          <w:p w14:paraId="5DFA4882" w14:textId="61CAC4D9" w:rsidR="0004426F" w:rsidRDefault="0004426F" w:rsidP="0004426F">
            <w:pPr>
              <w:pStyle w:val="Akapitzlist"/>
              <w:spacing w:line="276" w:lineRule="auto"/>
              <w:ind w:left="709"/>
              <w:jc w:val="both"/>
              <w:rPr>
                <w:rFonts w:asciiTheme="majorHAnsi" w:eastAsiaTheme="minorEastAsia" w:hAnsiTheme="majorHAnsi" w:cstheme="minorHAnsi"/>
                <w:color w:val="000000" w:themeColor="text1"/>
                <w:sz w:val="20"/>
                <w:szCs w:val="20"/>
              </w:rPr>
            </w:pPr>
          </w:p>
          <w:p w14:paraId="2A98DA46" w14:textId="2FAB6073" w:rsidR="00DC4E1A" w:rsidRPr="00DC4E1A" w:rsidRDefault="00DC4E1A" w:rsidP="00B90649">
            <w:pPr>
              <w:pStyle w:val="Akapitzlist"/>
              <w:numPr>
                <w:ilvl w:val="0"/>
                <w:numId w:val="12"/>
              </w:numPr>
              <w:spacing w:after="60" w:line="276" w:lineRule="auto"/>
              <w:jc w:val="both"/>
              <w:rPr>
                <w:rFonts w:asciiTheme="majorHAnsi" w:hAnsiTheme="majorHAnsi" w:cstheme="majorHAnsi"/>
                <w:sz w:val="20"/>
                <w:szCs w:val="20"/>
              </w:rPr>
            </w:pPr>
            <w:r w:rsidRPr="00DC4E1A">
              <w:rPr>
                <w:rFonts w:asciiTheme="majorHAnsi" w:hAnsiTheme="majorHAnsi" w:cstheme="majorHAnsi"/>
                <w:sz w:val="20"/>
                <w:szCs w:val="20"/>
              </w:rPr>
              <w:t>W celu weryfikacji potencjału technicznego Zamawiający: 1) oceni czy Wykonawca posiada niezbędną zdolność techniczną w zakresie dysponowania odpowiednim sprzętem niezbędnym do realizacji zamówienia</w:t>
            </w:r>
            <w:r>
              <w:rPr>
                <w:rFonts w:asciiTheme="majorHAnsi" w:hAnsiTheme="majorHAnsi" w:cstheme="majorHAnsi"/>
                <w:sz w:val="20"/>
                <w:szCs w:val="20"/>
              </w:rPr>
              <w:t xml:space="preserve"> ma zasadzie spełnia/ nie spełnia.</w:t>
            </w:r>
          </w:p>
          <w:p w14:paraId="7861E9D3" w14:textId="3AECD449" w:rsidR="00B90649" w:rsidRDefault="00B90649" w:rsidP="00B90649">
            <w:pPr>
              <w:pStyle w:val="Akapitzlist"/>
              <w:numPr>
                <w:ilvl w:val="0"/>
                <w:numId w:val="12"/>
              </w:numPr>
              <w:spacing w:after="60" w:line="276" w:lineRule="auto"/>
              <w:jc w:val="both"/>
              <w:rPr>
                <w:rFonts w:asciiTheme="majorHAnsi" w:hAnsiTheme="majorHAnsi"/>
                <w:sz w:val="20"/>
                <w:szCs w:val="20"/>
              </w:rPr>
            </w:pPr>
            <w:r w:rsidRPr="00B90649">
              <w:rPr>
                <w:rFonts w:asciiTheme="majorHAnsi" w:hAnsiTheme="majorHAnsi"/>
                <w:b/>
                <w:bCs/>
                <w:sz w:val="20"/>
                <w:szCs w:val="20"/>
                <w:u w:val="single"/>
              </w:rPr>
              <w:t>Zamawiający dopuszcza rozwiązania równoważne</w:t>
            </w:r>
            <w:r w:rsidRPr="00B90649">
              <w:rPr>
                <w:rFonts w:asciiTheme="majorHAnsi" w:hAnsiTheme="majorHAnsi"/>
                <w:sz w:val="20"/>
                <w:szCs w:val="20"/>
              </w:rPr>
              <w:t xml:space="preserve"> dotyczące wymaganego sprzętu do przeprowadzenia szkolenia. Przez rozwiązania równoważne Zamawiający rozumie takie rozwiązania, które umożliwiają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544BDF" w14:textId="585C8DA6" w:rsidR="00B90649" w:rsidRPr="00B90649" w:rsidRDefault="00B90649" w:rsidP="00B90649">
            <w:pPr>
              <w:pStyle w:val="Akapitzlist"/>
              <w:numPr>
                <w:ilvl w:val="0"/>
                <w:numId w:val="12"/>
              </w:numPr>
              <w:spacing w:after="60" w:line="276" w:lineRule="auto"/>
              <w:jc w:val="both"/>
              <w:rPr>
                <w:rFonts w:asciiTheme="majorHAnsi" w:hAnsiTheme="majorHAnsi"/>
                <w:sz w:val="20"/>
                <w:szCs w:val="20"/>
              </w:rPr>
            </w:pPr>
            <w:r w:rsidRPr="00B90649">
              <w:rPr>
                <w:rFonts w:asciiTheme="majorHAnsi" w:hAnsiTheme="majorHAnsi" w:cstheme="majorHAnsi"/>
                <w:color w:val="333333"/>
                <w:sz w:val="20"/>
                <w:szCs w:val="20"/>
                <w:shd w:val="clear" w:color="auto" w:fill="FFFFFF"/>
              </w:rPr>
              <w:t xml:space="preserve">Zamawiający wymaga załączenia przez wykonawców do oferty wykazu sprzętu niezbędnego do przeprowadzenia szkolenia. </w:t>
            </w:r>
          </w:p>
          <w:p w14:paraId="3AFADAAD" w14:textId="4DADC088" w:rsidR="0004426F" w:rsidRPr="00B90649" w:rsidRDefault="0004426F" w:rsidP="0004426F">
            <w:pPr>
              <w:pStyle w:val="Akapitzlist"/>
              <w:numPr>
                <w:ilvl w:val="0"/>
                <w:numId w:val="12"/>
              </w:numPr>
              <w:spacing w:after="60" w:line="276" w:lineRule="auto"/>
              <w:jc w:val="both"/>
              <w:rPr>
                <w:rFonts w:asciiTheme="majorHAnsi" w:hAnsiTheme="majorHAnsi"/>
                <w:sz w:val="20"/>
                <w:szCs w:val="20"/>
              </w:rPr>
            </w:pPr>
            <w:r w:rsidRPr="00B90649">
              <w:rPr>
                <w:rFonts w:asciiTheme="majorHAnsi" w:hAnsiTheme="majorHAnsi" w:cstheme="majorHAnsi"/>
                <w:b/>
                <w:bCs/>
                <w:sz w:val="20"/>
                <w:szCs w:val="20"/>
              </w:rPr>
              <w:t>Uwaga!</w:t>
            </w:r>
            <w:r w:rsidR="00B90649">
              <w:rPr>
                <w:rFonts w:asciiTheme="majorHAnsi" w:hAnsiTheme="majorHAnsi" w:cstheme="majorHAnsi"/>
                <w:b/>
                <w:bCs/>
                <w:sz w:val="20"/>
                <w:szCs w:val="20"/>
              </w:rPr>
              <w:t xml:space="preserve"> </w:t>
            </w:r>
            <w:r w:rsidRPr="00B90649">
              <w:rPr>
                <w:rFonts w:asciiTheme="majorHAnsi" w:hAnsiTheme="majorHAnsi" w:cstheme="minorHAnsi"/>
                <w:b/>
                <w:bCs/>
                <w:sz w:val="20"/>
                <w:szCs w:val="20"/>
                <w:u w:val="single"/>
              </w:rPr>
              <w:t>Przy składaniu oferty należy załączyć listę sprzętu, którego oferent zamierza użyć do realizacji szkoleń.</w:t>
            </w:r>
          </w:p>
          <w:p w14:paraId="44A3EFB2" w14:textId="77777777" w:rsidR="0004426F" w:rsidRPr="0004426F" w:rsidRDefault="0004426F" w:rsidP="0004426F">
            <w:pPr>
              <w:spacing w:after="40"/>
              <w:jc w:val="both"/>
              <w:rPr>
                <w:rFonts w:asciiTheme="majorHAnsi" w:hAnsiTheme="majorHAnsi" w:cs="Calibri Light"/>
                <w:b/>
                <w:sz w:val="20"/>
                <w:szCs w:val="20"/>
                <w:u w:val="single"/>
              </w:rPr>
            </w:pPr>
          </w:p>
          <w:p w14:paraId="602F5920" w14:textId="77777777" w:rsidR="0004426F" w:rsidRPr="0004426F" w:rsidRDefault="0004426F" w:rsidP="0004426F">
            <w:pPr>
              <w:numPr>
                <w:ilvl w:val="1"/>
                <w:numId w:val="12"/>
              </w:numPr>
              <w:spacing w:after="40"/>
              <w:ind w:left="534" w:hanging="426"/>
              <w:jc w:val="both"/>
              <w:rPr>
                <w:rFonts w:asciiTheme="majorHAnsi" w:hAnsiTheme="majorHAnsi" w:cs="Calibri Light"/>
                <w:b/>
                <w:sz w:val="20"/>
                <w:szCs w:val="20"/>
                <w:u w:val="single"/>
              </w:rPr>
            </w:pPr>
            <w:r w:rsidRPr="0004426F">
              <w:rPr>
                <w:rFonts w:asciiTheme="majorHAnsi" w:hAnsiTheme="majorHAnsi" w:cs="Calibri Light"/>
                <w:b/>
                <w:sz w:val="20"/>
                <w:szCs w:val="20"/>
                <w:u w:val="single"/>
              </w:rPr>
              <w:t>w zakresie</w:t>
            </w:r>
            <w:r w:rsidRPr="0004426F">
              <w:rPr>
                <w:rFonts w:asciiTheme="majorHAnsi" w:hAnsiTheme="majorHAnsi" w:cs="Calibri Light"/>
                <w:sz w:val="20"/>
                <w:szCs w:val="20"/>
                <w:u w:val="single"/>
              </w:rPr>
              <w:t xml:space="preserve"> </w:t>
            </w:r>
            <w:r w:rsidRPr="0004426F">
              <w:rPr>
                <w:rFonts w:asciiTheme="majorHAnsi" w:hAnsiTheme="majorHAnsi" w:cs="Calibri Light"/>
                <w:b/>
                <w:sz w:val="20"/>
                <w:szCs w:val="20"/>
                <w:u w:val="single"/>
              </w:rPr>
              <w:t>posiadania potencjału osobowego:</w:t>
            </w:r>
          </w:p>
          <w:p w14:paraId="137B1C2F" w14:textId="77777777" w:rsidR="0004426F" w:rsidRPr="0004426F" w:rsidRDefault="0004426F" w:rsidP="0004426F">
            <w:pPr>
              <w:widowControl w:val="0"/>
              <w:tabs>
                <w:tab w:val="left" w:pos="567"/>
              </w:tabs>
              <w:suppressAutoHyphens/>
              <w:spacing w:line="276" w:lineRule="auto"/>
              <w:jc w:val="both"/>
              <w:rPr>
                <w:rFonts w:asciiTheme="majorHAnsi" w:hAnsiTheme="majorHAnsi" w:cs="Calibri Light"/>
                <w:kern w:val="1"/>
                <w:sz w:val="20"/>
                <w:szCs w:val="20"/>
                <w:lang w:val="x-none" w:eastAsia="x-none"/>
              </w:rPr>
            </w:pPr>
          </w:p>
          <w:p w14:paraId="5B29CAF2" w14:textId="4C523D68" w:rsidR="00903800" w:rsidRDefault="0004426F" w:rsidP="0004426F">
            <w:pPr>
              <w:widowControl w:val="0"/>
              <w:tabs>
                <w:tab w:val="left" w:pos="567"/>
              </w:tabs>
              <w:suppressAutoHyphens/>
              <w:spacing w:line="276" w:lineRule="auto"/>
              <w:jc w:val="both"/>
              <w:rPr>
                <w:rFonts w:asciiTheme="majorHAnsi" w:hAnsiTheme="majorHAnsi" w:cs="Calibri Light"/>
                <w:kern w:val="1"/>
                <w:sz w:val="20"/>
                <w:szCs w:val="20"/>
                <w:lang w:eastAsia="x-none"/>
              </w:rPr>
            </w:pPr>
            <w:r w:rsidRPr="0004426F">
              <w:rPr>
                <w:rFonts w:asciiTheme="majorHAnsi" w:hAnsiTheme="majorHAnsi" w:cs="Calibri Light"/>
                <w:kern w:val="1"/>
                <w:sz w:val="20"/>
                <w:szCs w:val="20"/>
                <w:lang w:val="x-none" w:eastAsia="x-none"/>
              </w:rPr>
              <w:t xml:space="preserve">Zamawiający uzna warunek za spełniony jeżeli Wykonawca wykaże, że dysponuje lub będzie dysponował </w:t>
            </w:r>
            <w:r w:rsidRPr="0004426F">
              <w:rPr>
                <w:rFonts w:asciiTheme="majorHAnsi" w:hAnsiTheme="majorHAnsi" w:cs="Calibri Light"/>
                <w:kern w:val="1"/>
                <w:sz w:val="20"/>
                <w:szCs w:val="20"/>
                <w:lang w:eastAsia="x-none"/>
              </w:rPr>
              <w:t xml:space="preserve">min.  3 dyspozycyjnymi </w:t>
            </w:r>
            <w:r w:rsidRPr="0004426F">
              <w:rPr>
                <w:rFonts w:asciiTheme="majorHAnsi" w:hAnsiTheme="majorHAnsi" w:cs="Calibri Light"/>
                <w:kern w:val="1"/>
                <w:sz w:val="20"/>
                <w:szCs w:val="20"/>
                <w:lang w:val="x-none" w:eastAsia="x-none"/>
              </w:rPr>
              <w:t>osob</w:t>
            </w:r>
            <w:r w:rsidRPr="0004426F">
              <w:rPr>
                <w:rFonts w:asciiTheme="majorHAnsi" w:hAnsiTheme="majorHAnsi" w:cs="Calibri Light"/>
                <w:kern w:val="1"/>
                <w:sz w:val="20"/>
                <w:szCs w:val="20"/>
                <w:lang w:eastAsia="x-none"/>
              </w:rPr>
              <w:t>ami</w:t>
            </w:r>
            <w:r w:rsidRPr="0004426F">
              <w:rPr>
                <w:rFonts w:asciiTheme="majorHAnsi" w:hAnsiTheme="majorHAnsi" w:cs="Calibri Light"/>
                <w:kern w:val="1"/>
                <w:sz w:val="20"/>
                <w:szCs w:val="20"/>
                <w:lang w:val="x-none" w:eastAsia="x-none"/>
              </w:rPr>
              <w:t xml:space="preserve">, </w:t>
            </w:r>
            <w:r w:rsidRPr="0004426F">
              <w:rPr>
                <w:rFonts w:asciiTheme="majorHAnsi" w:hAnsiTheme="majorHAnsi" w:cs="Calibri Light"/>
                <w:kern w:val="1"/>
                <w:sz w:val="20"/>
                <w:szCs w:val="20"/>
                <w:lang w:eastAsia="x-none"/>
              </w:rPr>
              <w:t>posiadającymi doświadczenie w przeprowadzeniu</w:t>
            </w:r>
            <w:r w:rsidRPr="0004426F">
              <w:rPr>
                <w:rFonts w:asciiTheme="majorHAnsi" w:hAnsiTheme="majorHAnsi"/>
                <w:color w:val="000000"/>
                <w:sz w:val="20"/>
                <w:szCs w:val="20"/>
                <w:bdr w:val="none" w:sz="0" w:space="0" w:color="auto" w:frame="1"/>
                <w:shd w:val="clear" w:color="auto" w:fill="FFFFFF"/>
              </w:rPr>
              <w:t xml:space="preserve"> należycie wykonanych kursów/szkoleń/zajęć/wykładów w wymiarze co najmniej 100 godzin zegarowych o tematyce zbliżonej do </w:t>
            </w:r>
            <w:r w:rsidRPr="0004426F">
              <w:rPr>
                <w:rFonts w:asciiTheme="majorHAnsi" w:hAnsiTheme="majorHAnsi"/>
                <w:sz w:val="20"/>
                <w:szCs w:val="20"/>
                <w:bdr w:val="none" w:sz="0" w:space="0" w:color="auto" w:frame="1"/>
                <w:shd w:val="clear" w:color="auto" w:fill="FFFFFF"/>
              </w:rPr>
              <w:t>tematyki szkolenia w</w:t>
            </w:r>
            <w:r w:rsidRPr="0004426F">
              <w:rPr>
                <w:rFonts w:asciiTheme="majorHAnsi" w:hAnsiTheme="majorHAnsi" w:cs="Calibri Light"/>
                <w:kern w:val="1"/>
                <w:sz w:val="20"/>
                <w:szCs w:val="20"/>
                <w:lang w:eastAsia="x-none"/>
              </w:rPr>
              <w:t xml:space="preserve"> ww. zakresie.</w:t>
            </w:r>
          </w:p>
          <w:p w14:paraId="0A0AA9A2" w14:textId="64E44293" w:rsidR="00CE5E19" w:rsidRPr="00CE5E19" w:rsidRDefault="00CE5E19" w:rsidP="0004426F">
            <w:pPr>
              <w:widowControl w:val="0"/>
              <w:tabs>
                <w:tab w:val="left" w:pos="567"/>
              </w:tabs>
              <w:suppressAutoHyphens/>
              <w:spacing w:line="276" w:lineRule="auto"/>
              <w:jc w:val="both"/>
              <w:rPr>
                <w:rFonts w:asciiTheme="majorHAnsi" w:hAnsiTheme="majorHAnsi" w:cstheme="majorHAnsi"/>
                <w:kern w:val="1"/>
                <w:sz w:val="20"/>
                <w:szCs w:val="20"/>
                <w:lang w:eastAsia="x-none"/>
              </w:rPr>
            </w:pPr>
            <w:r w:rsidRPr="00CE5E19">
              <w:rPr>
                <w:rFonts w:asciiTheme="majorHAnsi" w:hAnsiTheme="majorHAnsi" w:cstheme="majorHAnsi"/>
                <w:sz w:val="20"/>
                <w:szCs w:val="20"/>
              </w:rPr>
              <w:t>Ocena spełniania warunków wymaganych od Wykonawców zostanie dokonana wg formuły spełnia – nie spełnia na podstawie dokumentów opisanych w rozdziale VII pkt 4 SWZ.</w:t>
            </w:r>
          </w:p>
          <w:p w14:paraId="36CF4C00" w14:textId="77777777" w:rsidR="00CE5E19" w:rsidRDefault="00CE5E19" w:rsidP="0004426F">
            <w:pPr>
              <w:widowControl w:val="0"/>
              <w:tabs>
                <w:tab w:val="left" w:pos="567"/>
              </w:tabs>
              <w:suppressAutoHyphens/>
              <w:spacing w:line="276" w:lineRule="auto"/>
              <w:jc w:val="both"/>
              <w:rPr>
                <w:rFonts w:asciiTheme="majorHAnsi" w:hAnsiTheme="majorHAnsi" w:cs="Calibri Light"/>
                <w:kern w:val="1"/>
                <w:sz w:val="20"/>
                <w:szCs w:val="20"/>
                <w:lang w:eastAsia="x-none"/>
              </w:rPr>
            </w:pPr>
          </w:p>
          <w:p w14:paraId="7E669C12" w14:textId="06744D8A" w:rsidR="00CE5E19" w:rsidRPr="00DC0880" w:rsidRDefault="00CE5E19" w:rsidP="0004426F">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lastRenderedPageBreak/>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lastRenderedPageBreak/>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Pzp.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w art. 109 ust. 1 pkt. 4, Pzp,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E87E9E">
      <w:pPr>
        <w:numPr>
          <w:ilvl w:val="2"/>
          <w:numId w:val="41"/>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E87E9E">
      <w:pPr>
        <w:numPr>
          <w:ilvl w:val="1"/>
          <w:numId w:val="42"/>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osób fizycznych lub prawnych, podmiotów lub organów działających w imieniu lub pod kierunkiem podmiotu, o którym mowa w lit. a) lub b) niniejszego ustępu, w tym podwykonawców, dostawców lub podmiotów, na których zdolności polega się w </w:t>
      </w:r>
      <w:r w:rsidRPr="000D154C">
        <w:rPr>
          <w:rFonts w:asciiTheme="majorHAnsi" w:hAnsiTheme="majorHAnsi"/>
          <w:sz w:val="20"/>
          <w:szCs w:val="20"/>
        </w:rPr>
        <w:lastRenderedPageBreak/>
        <w:t>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Wykluczenie Wykonawcy następuje zgodnie z art. 111 Pzp.</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Pzp, jeżeli udowodni Zamawiającemu, że spełnił łącznie przesłanki wskazane w art. 110 ust. 2 Pzp.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Zamawiający oceni, czy podjęte przez Wykonawcę czynności, o których mowa w art. 110 ust. 2 Pzp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Pzp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Pzp.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77777777"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hAnsiTheme="majorHAnsi" w:cs="Calibri Light"/>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313BEC39" w14:textId="42C21EDD" w:rsidR="00E21296" w:rsidRPr="000D154C" w:rsidRDefault="00BA53C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p>
    <w:p w14:paraId="2E08661F" w14:textId="747D291C" w:rsidR="00045520" w:rsidRPr="000D154C" w:rsidRDefault="00045520"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Calibri Light"/>
          <w:b/>
          <w:bCs/>
          <w:sz w:val="20"/>
          <w:szCs w:val="20"/>
        </w:rPr>
        <w:t>wykaz sprzętu</w:t>
      </w:r>
      <w:r w:rsidR="00C433B3" w:rsidRPr="000D154C">
        <w:rPr>
          <w:rFonts w:ascii="Calibri" w:hAnsi="Calibri" w:cs="Calibri Light"/>
          <w:b/>
          <w:bCs/>
          <w:sz w:val="20"/>
          <w:szCs w:val="20"/>
        </w:rPr>
        <w:t xml:space="preserve"> wraz z specyfikacją</w:t>
      </w:r>
      <w:r w:rsidRPr="000D154C">
        <w:rPr>
          <w:rFonts w:ascii="Calibri" w:hAnsi="Calibri" w:cs="Calibri Light"/>
          <w:b/>
          <w:bCs/>
          <w:sz w:val="20"/>
          <w:szCs w:val="20"/>
        </w:rPr>
        <w:t xml:space="preserve">, </w:t>
      </w:r>
      <w:r w:rsidRPr="000D154C">
        <w:rPr>
          <w:rFonts w:ascii="Calibri" w:hAnsi="Calibri" w:cs="Calibri Light"/>
          <w:bCs/>
          <w:sz w:val="20"/>
          <w:szCs w:val="20"/>
        </w:rPr>
        <w:t>z którego Wykonawca będzie korzystał podczas prowadzenia szkolenia.</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63E26EA3"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lastRenderedPageBreak/>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30BAA6A3" w:rsidR="0077453B" w:rsidRDefault="0077453B" w:rsidP="00E87E9E">
      <w:pPr>
        <w:numPr>
          <w:ilvl w:val="0"/>
          <w:numId w:val="41"/>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03978399" w14:textId="7A9855C3" w:rsidR="00583141" w:rsidRPr="00583141" w:rsidRDefault="00583141" w:rsidP="00583141">
      <w:pPr>
        <w:pStyle w:val="Akapitzlist"/>
        <w:spacing w:line="276" w:lineRule="auto"/>
        <w:ind w:left="360"/>
        <w:jc w:val="both"/>
        <w:rPr>
          <w:rFonts w:asciiTheme="majorHAnsi" w:hAnsiTheme="majorHAnsi" w:cs="Arial"/>
          <w:sz w:val="20"/>
          <w:szCs w:val="20"/>
        </w:rPr>
      </w:pP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lastRenderedPageBreak/>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 w:name="bookmark11"/>
      <w:r w:rsidR="00974EE8" w:rsidRPr="00763F14">
        <w:rPr>
          <w:rFonts w:asciiTheme="majorHAnsi" w:hAnsiTheme="majorHAnsi"/>
          <w:b/>
          <w:bCs/>
          <w:sz w:val="22"/>
          <w:szCs w:val="22"/>
        </w:rPr>
        <w:t xml:space="preserve">SPOSÓB KOMUNIKACJI ORAZ </w:t>
      </w:r>
      <w:bookmarkEnd w:id="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w:t>
      </w:r>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w:t>
      </w:r>
      <w:r w:rsidRPr="000D154C">
        <w:rPr>
          <w:rFonts w:asciiTheme="majorHAnsi" w:eastAsiaTheme="minorEastAsia" w:hAnsiTheme="majorHAnsi" w:cs="Calibri"/>
          <w:sz w:val="20"/>
          <w:szCs w:val="20"/>
        </w:rPr>
        <w:lastRenderedPageBreak/>
        <w:t xml:space="preserve">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stały dostęp do sieci Internet o gwarantowanej przepustowości nie mniejszej niż 512 kb/s,</w:t>
      </w:r>
    </w:p>
    <w:p w14:paraId="4DD4485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zainstalowany program Adobe Acrobat Reader lub inny obsługujący format plików .pdf,</w:t>
      </w:r>
    </w:p>
    <w:p w14:paraId="68278AF1" w14:textId="77777777" w:rsidR="000D154C" w:rsidRPr="000D154C" w:rsidRDefault="000D154C" w:rsidP="00E87E9E">
      <w:pPr>
        <w:numPr>
          <w:ilvl w:val="0"/>
          <w:numId w:val="43"/>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(hh:mm:ss)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E87E9E">
      <w:pPr>
        <w:numPr>
          <w:ilvl w:val="0"/>
          <w:numId w:val="44"/>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t xml:space="preserve">ączka-Wojtecka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Pzp postępowanie o udzielenie zamówienia, z zastrzeżeniem wyjątków przewidzianych w Pzp,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Pzp,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lastRenderedPageBreak/>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2" w:name="bookmark12"/>
      <w:r w:rsidRPr="000D154C">
        <w:rPr>
          <w:rFonts w:asciiTheme="majorHAnsi" w:hAnsiTheme="majorHAnsi"/>
          <w:sz w:val="20"/>
          <w:szCs w:val="20"/>
        </w:rPr>
        <w:t xml:space="preserve">Zgodnie z art. 20 ust. 1 Pzp postępowanie o udzielenie zamówienia, z zastrzeżeniem wyjątków przewidzianych w Pzp,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Komunikacja, w tym składanie ofert, wymiana informacji oraz przekazywanie dokumentów lub oświadczeń między zamawiającym a wykonawcą, z uwzględnieniem wyjątków określonych w Pzp,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oświadczenia, o których mowa w Rozdziale X ust. 1 SWZ;</w:t>
      </w:r>
    </w:p>
    <w:p w14:paraId="31D49E88"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 XI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lastRenderedPageBreak/>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E87E9E">
      <w:pPr>
        <w:numPr>
          <w:ilvl w:val="0"/>
          <w:numId w:val="46"/>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4CBA6425" w:rsidR="005848D8" w:rsidRPr="005848D8" w:rsidRDefault="005848D8" w:rsidP="00E87E9E">
      <w:pPr>
        <w:numPr>
          <w:ilvl w:val="0"/>
          <w:numId w:val="46"/>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1F8B8B7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E87E9E">
      <w:pPr>
        <w:numPr>
          <w:ilvl w:val="0"/>
          <w:numId w:val="46"/>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E87E9E">
      <w:pPr>
        <w:numPr>
          <w:ilvl w:val="2"/>
          <w:numId w:val="45"/>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E87E9E">
      <w:pPr>
        <w:numPr>
          <w:ilvl w:val="0"/>
          <w:numId w:val="46"/>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10095B63"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0275F0">
        <w:rPr>
          <w:rFonts w:asciiTheme="majorHAnsi" w:hAnsiTheme="majorHAnsi"/>
          <w:b/>
          <w:sz w:val="20"/>
        </w:rPr>
        <w:t>08.04.2023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5731F2F"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lastRenderedPageBreak/>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0275F0" w:rsidRPr="000275F0">
        <w:rPr>
          <w:rFonts w:asciiTheme="majorHAnsi" w:hAnsiTheme="majorHAnsi" w:cstheme="majorHAnsi"/>
          <w:b/>
          <w:sz w:val="20"/>
          <w:szCs w:val="20"/>
        </w:rPr>
        <w:t xml:space="preserve">10.03.2023 </w:t>
      </w:r>
      <w:r w:rsidR="00B5063F" w:rsidRPr="000275F0">
        <w:rPr>
          <w:rFonts w:asciiTheme="majorHAnsi" w:hAnsiTheme="majorHAnsi" w:cstheme="majorHAnsi"/>
          <w:b/>
          <w:sz w:val="20"/>
          <w:szCs w:val="20"/>
        </w:rPr>
        <w:t xml:space="preserve">do godziny </w:t>
      </w:r>
      <w:r w:rsidR="00932F29" w:rsidRPr="000275F0">
        <w:rPr>
          <w:rFonts w:asciiTheme="majorHAnsi" w:hAnsiTheme="majorHAnsi" w:cstheme="majorHAnsi"/>
          <w:b/>
          <w:caps/>
          <w:sz w:val="20"/>
          <w:szCs w:val="20"/>
        </w:rPr>
        <w:t>1</w:t>
      </w:r>
      <w:r w:rsidR="00BB35DF" w:rsidRPr="000275F0">
        <w:rPr>
          <w:rFonts w:asciiTheme="majorHAnsi" w:hAnsiTheme="majorHAnsi" w:cstheme="majorHAnsi"/>
          <w:b/>
          <w:caps/>
          <w:sz w:val="20"/>
          <w:szCs w:val="20"/>
        </w:rPr>
        <w:t>0</w:t>
      </w:r>
      <w:r w:rsidR="00B5063F" w:rsidRPr="000275F0">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5C358C08"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0275F0" w:rsidRPr="000275F0">
        <w:rPr>
          <w:rFonts w:asciiTheme="majorHAnsi" w:hAnsiTheme="majorHAnsi" w:cstheme="majorHAnsi"/>
          <w:b/>
          <w:sz w:val="20"/>
          <w:szCs w:val="20"/>
        </w:rPr>
        <w:t xml:space="preserve">10.03.2023 r. </w:t>
      </w:r>
      <w:r w:rsidR="00115F5C" w:rsidRPr="000275F0">
        <w:rPr>
          <w:rFonts w:asciiTheme="majorHAnsi" w:hAnsiTheme="majorHAnsi" w:cstheme="majorHAnsi"/>
          <w:b/>
          <w:sz w:val="20"/>
          <w:szCs w:val="20"/>
        </w:rPr>
        <w:t xml:space="preserve">o godzinie </w:t>
      </w:r>
      <w:r w:rsidR="00932F29" w:rsidRPr="000275F0">
        <w:rPr>
          <w:rFonts w:asciiTheme="majorHAnsi" w:hAnsiTheme="majorHAnsi" w:cstheme="majorHAnsi"/>
          <w:b/>
          <w:sz w:val="20"/>
          <w:szCs w:val="20"/>
        </w:rPr>
        <w:t>1</w:t>
      </w:r>
      <w:r w:rsidR="000275F0" w:rsidRPr="000275F0">
        <w:rPr>
          <w:rFonts w:asciiTheme="majorHAnsi" w:hAnsiTheme="majorHAnsi" w:cstheme="majorHAnsi"/>
          <w:b/>
          <w:sz w:val="20"/>
          <w:szCs w:val="20"/>
        </w:rPr>
        <w:t>0</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153AFF75" w:rsidR="00EA0BD5" w:rsidRPr="005848D8" w:rsidRDefault="00201932"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ermin realizacji usługi</w:t>
      </w:r>
      <w:r w:rsidR="00B626A6" w:rsidRPr="005848D8">
        <w:rPr>
          <w:rFonts w:asciiTheme="majorHAnsi" w:hAnsiTheme="majorHAnsi" w:cs="Calibri Light"/>
          <w:b/>
          <w:sz w:val="20"/>
          <w:szCs w:val="20"/>
        </w:rPr>
        <w:t xml:space="preserve"> od momentu zgłoszenia gotowości grupy</w:t>
      </w:r>
      <w:r w:rsidR="00B626A6" w:rsidRPr="005848D8">
        <w:rPr>
          <w:rFonts w:asciiTheme="majorHAnsi" w:hAnsiTheme="majorHAnsi" w:cs="Calibri Light"/>
          <w:caps/>
          <w:sz w:val="20"/>
          <w:szCs w:val="20"/>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68AE6CBF" w:rsidR="00EA0BD5" w:rsidRPr="005848D8" w:rsidRDefault="00FF5CC4" w:rsidP="00E87E9E">
      <w:pPr>
        <w:pStyle w:val="Default"/>
        <w:numPr>
          <w:ilvl w:val="0"/>
          <w:numId w:val="38"/>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Termin realizac</w:t>
      </w:r>
      <w:r w:rsidRPr="005848D8">
        <w:rPr>
          <w:rFonts w:asciiTheme="majorHAnsi" w:hAnsiTheme="majorHAnsi" w:cs="Calibri Light"/>
          <w:b/>
          <w:color w:val="auto"/>
          <w:sz w:val="20"/>
          <w:szCs w:val="20"/>
        </w:rPr>
        <w:t>ji usługi</w:t>
      </w:r>
      <w:r w:rsidR="00B626A6" w:rsidRPr="005848D8">
        <w:rPr>
          <w:rFonts w:asciiTheme="majorHAnsi" w:hAnsiTheme="majorHAnsi" w:cs="Calibri Light"/>
          <w:b/>
          <w:color w:val="auto"/>
          <w:sz w:val="20"/>
          <w:szCs w:val="20"/>
        </w:rPr>
        <w:t xml:space="preserve"> od momentu zgłoszenia gotowości grupy</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2FB9567B"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Zasady przyznawania punktów w kryterium „termin realizacji usługi</w:t>
      </w:r>
      <w:r w:rsidR="00B626A6" w:rsidRPr="005848D8">
        <w:rPr>
          <w:rFonts w:asciiTheme="majorHAnsi" w:hAnsiTheme="majorHAnsi"/>
          <w:b/>
          <w:bCs/>
          <w:u w:val="single"/>
        </w:rPr>
        <w:t xml:space="preserve"> </w:t>
      </w:r>
      <w:r w:rsidR="00B626A6" w:rsidRPr="005848D8">
        <w:rPr>
          <w:rFonts w:asciiTheme="majorHAnsi" w:hAnsiTheme="majorHAnsi" w:cs="Calibri Light"/>
          <w:b/>
        </w:rPr>
        <w:t>od momentu zgłoszenia gotowości grupy</w:t>
      </w:r>
      <w:r w:rsidRPr="005848D8">
        <w:rPr>
          <w:rFonts w:asciiTheme="majorHAnsi" w:hAnsiTheme="majorHAnsi"/>
          <w:b/>
          <w:bCs/>
          <w:u w:val="single"/>
        </w:rPr>
        <w:t>”:</w:t>
      </w:r>
    </w:p>
    <w:p w14:paraId="4484B046" w14:textId="77777777" w:rsidR="006D06D5" w:rsidRPr="005848D8" w:rsidRDefault="006D06D5" w:rsidP="005848D8">
      <w:pPr>
        <w:pStyle w:val="Tekstpodstawowy2"/>
        <w:tabs>
          <w:tab w:val="num" w:pos="180"/>
        </w:tabs>
        <w:spacing w:line="276" w:lineRule="auto"/>
        <w:rPr>
          <w:rFonts w:asciiTheme="majorHAnsi" w:hAnsiTheme="maj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313"/>
        <w:gridCol w:w="10"/>
      </w:tblGrid>
      <w:tr w:rsidR="006D06D5" w:rsidRPr="005848D8" w14:paraId="43B1EAC3" w14:textId="77777777" w:rsidTr="006D06D5">
        <w:trPr>
          <w:gridAfter w:val="1"/>
          <w:wAfter w:w="10" w:type="dxa"/>
          <w:trHeight w:val="761"/>
          <w:jc w:val="center"/>
        </w:trPr>
        <w:tc>
          <w:tcPr>
            <w:tcW w:w="3085" w:type="dxa"/>
            <w:shd w:val="clear" w:color="auto" w:fill="auto"/>
          </w:tcPr>
          <w:p w14:paraId="2A32ECCD" w14:textId="0E165B4F"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Termin realizacji usługi  liczony od dnia podpisania umowy</w:t>
            </w:r>
          </w:p>
        </w:tc>
        <w:tc>
          <w:tcPr>
            <w:tcW w:w="1134" w:type="dxa"/>
            <w:shd w:val="clear" w:color="auto" w:fill="auto"/>
          </w:tcPr>
          <w:p w14:paraId="7EB32C7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3ABCDF31" w14:textId="0A8758E0"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2</w:t>
            </w:r>
            <w:r w:rsidRPr="005848D8">
              <w:rPr>
                <w:rFonts w:asciiTheme="majorHAnsi" w:hAnsiTheme="majorHAnsi"/>
                <w:b/>
                <w:bCs/>
              </w:rPr>
              <w:t xml:space="preserve"> </w:t>
            </w:r>
            <w:r w:rsidR="00B626A6" w:rsidRPr="005848D8">
              <w:rPr>
                <w:rFonts w:asciiTheme="majorHAnsi" w:hAnsiTheme="majorHAnsi"/>
                <w:b/>
                <w:bCs/>
              </w:rPr>
              <w:t>dni</w:t>
            </w:r>
          </w:p>
        </w:tc>
        <w:tc>
          <w:tcPr>
            <w:tcW w:w="1276" w:type="dxa"/>
          </w:tcPr>
          <w:p w14:paraId="7ACB234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5E146741" w14:textId="11F1C0C8"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6</w:t>
            </w:r>
            <w:r w:rsidRPr="005848D8">
              <w:rPr>
                <w:rFonts w:asciiTheme="majorHAnsi" w:hAnsiTheme="majorHAnsi"/>
                <w:b/>
                <w:bCs/>
              </w:rPr>
              <w:t xml:space="preserve"> </w:t>
            </w:r>
            <w:r w:rsidR="00B626A6" w:rsidRPr="005848D8">
              <w:rPr>
                <w:rFonts w:asciiTheme="majorHAnsi" w:hAnsiTheme="majorHAnsi"/>
                <w:b/>
                <w:bCs/>
              </w:rPr>
              <w:t>dni</w:t>
            </w:r>
          </w:p>
        </w:tc>
        <w:tc>
          <w:tcPr>
            <w:tcW w:w="1313" w:type="dxa"/>
          </w:tcPr>
          <w:p w14:paraId="4FC9FF28"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134E7381" w14:textId="24647B1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15</w:t>
            </w:r>
            <w:r w:rsidRPr="005848D8">
              <w:rPr>
                <w:rFonts w:asciiTheme="majorHAnsi" w:hAnsiTheme="majorHAnsi"/>
                <w:b/>
                <w:bCs/>
              </w:rPr>
              <w:t xml:space="preserve"> </w:t>
            </w:r>
            <w:r w:rsidR="00B626A6" w:rsidRPr="005848D8">
              <w:rPr>
                <w:rFonts w:asciiTheme="majorHAnsi" w:hAnsiTheme="majorHAnsi"/>
                <w:b/>
                <w:bCs/>
              </w:rPr>
              <w:t>dni</w:t>
            </w:r>
          </w:p>
        </w:tc>
      </w:tr>
      <w:tr w:rsidR="006D06D5" w:rsidRPr="005848D8" w14:paraId="2392744F" w14:textId="77777777" w:rsidTr="006D06D5">
        <w:trPr>
          <w:trHeight w:val="354"/>
          <w:jc w:val="center"/>
        </w:trPr>
        <w:tc>
          <w:tcPr>
            <w:tcW w:w="3085" w:type="dxa"/>
            <w:shd w:val="clear" w:color="auto" w:fill="auto"/>
          </w:tcPr>
          <w:p w14:paraId="1B881EF2"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Liczba punktów </w:t>
            </w:r>
          </w:p>
        </w:tc>
        <w:tc>
          <w:tcPr>
            <w:tcW w:w="1134" w:type="dxa"/>
            <w:shd w:val="clear" w:color="auto" w:fill="auto"/>
          </w:tcPr>
          <w:p w14:paraId="5017F72A"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40</w:t>
            </w:r>
          </w:p>
        </w:tc>
        <w:tc>
          <w:tcPr>
            <w:tcW w:w="1276" w:type="dxa"/>
          </w:tcPr>
          <w:p w14:paraId="4271EA83"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20</w:t>
            </w:r>
          </w:p>
        </w:tc>
        <w:tc>
          <w:tcPr>
            <w:tcW w:w="1323" w:type="dxa"/>
            <w:gridSpan w:val="2"/>
          </w:tcPr>
          <w:p w14:paraId="273E7EC8"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10</w:t>
            </w:r>
          </w:p>
        </w:tc>
      </w:tr>
    </w:tbl>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37E12384"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B626A6" w:rsidRPr="005848D8">
        <w:rPr>
          <w:rFonts w:asciiTheme="majorHAnsi" w:hAnsiTheme="majorHAnsi"/>
          <w:b/>
          <w:sz w:val="20"/>
          <w:szCs w:val="20"/>
        </w:rPr>
        <w:t>wykonania</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2FDAD997"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termin realizacji usługi</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lastRenderedPageBreak/>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r w:rsidR="00F630B3"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r w:rsidR="00784495" w:rsidRPr="005848D8">
        <w:rPr>
          <w:rFonts w:asciiTheme="majorHAnsi" w:hAnsiTheme="majorHAnsi" w:cstheme="majorHAnsi"/>
          <w:sz w:val="20"/>
          <w:szCs w:val="20"/>
        </w:rPr>
        <w:t>Pzp.</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r w:rsidR="00784495" w:rsidRPr="005848D8">
        <w:rPr>
          <w:rFonts w:asciiTheme="majorHAnsi" w:hAnsiTheme="majorHAnsi" w:cstheme="majorHAnsi"/>
          <w:sz w:val="20"/>
          <w:szCs w:val="20"/>
        </w:rPr>
        <w:t>Pzp</w:t>
      </w:r>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3754BCFE" w14:textId="2C4BE619"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EB0D6C">
            <w:pPr>
              <w:suppressAutoHyphens/>
              <w:spacing w:line="360" w:lineRule="auto"/>
              <w:rPr>
                <w:rFonts w:asciiTheme="majorHAnsi" w:hAnsiTheme="majorHAnsi" w:cs="Calibri Light"/>
                <w:i/>
                <w:iCs/>
                <w:sz w:val="22"/>
                <w:szCs w:val="22"/>
              </w:rPr>
            </w:pPr>
          </w:p>
          <w:p w14:paraId="24E142ED" w14:textId="77777777" w:rsidR="00EB0D6C" w:rsidRPr="00F77ECD" w:rsidRDefault="00EB0D6C" w:rsidP="00EB0D6C">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Zatwierdzam:</w:t>
            </w:r>
          </w:p>
          <w:p w14:paraId="280AFC2D" w14:textId="11FAD11E" w:rsidR="00EB0D6C" w:rsidRPr="00F77ECD" w:rsidRDefault="00EB0D6C" w:rsidP="00417485">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p w14:paraId="48790504" w14:textId="75750238" w:rsidR="00EB0D6C" w:rsidRPr="00F77ECD" w:rsidRDefault="00F77ECD" w:rsidP="00F77ECD">
            <w:pPr>
              <w:suppressAutoHyphens/>
              <w:spacing w:line="360" w:lineRule="auto"/>
              <w:jc w:val="right"/>
              <w:rPr>
                <w:rFonts w:asciiTheme="majorHAnsi" w:hAnsiTheme="majorHAnsi" w:cs="Calibri Light"/>
                <w:i/>
                <w:iCs/>
                <w:sz w:val="22"/>
                <w:szCs w:val="22"/>
              </w:rPr>
            </w:pPr>
            <w:r>
              <w:rPr>
                <w:rFonts w:asciiTheme="majorHAnsi" w:hAnsiTheme="majorHAnsi" w:cs="Calibri Light"/>
                <w:i/>
                <w:iCs/>
                <w:sz w:val="22"/>
                <w:szCs w:val="22"/>
              </w:rPr>
              <w:t>m</w:t>
            </w:r>
            <w:r w:rsidRPr="00F77ECD">
              <w:rPr>
                <w:rFonts w:asciiTheme="majorHAnsi" w:hAnsiTheme="majorHAnsi" w:cs="Calibri Light"/>
                <w:i/>
                <w:iCs/>
                <w:sz w:val="22"/>
                <w:szCs w:val="22"/>
              </w:rPr>
              <w:t>gr Renata Malak</w:t>
            </w: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2B63" w14:textId="77777777" w:rsidR="00F76194" w:rsidRDefault="00F76194">
      <w:r>
        <w:separator/>
      </w:r>
    </w:p>
  </w:endnote>
  <w:endnote w:type="continuationSeparator" w:id="0">
    <w:p w14:paraId="365666D7" w14:textId="77777777" w:rsidR="00F76194" w:rsidRDefault="00F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AFF" w:usb1="C000E47F" w:usb2="0000002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50B7089"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848D8">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848D8">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01E1" w14:textId="77777777" w:rsidR="00F76194" w:rsidRDefault="00F76194">
      <w:r>
        <w:separator/>
      </w:r>
    </w:p>
  </w:footnote>
  <w:footnote w:type="continuationSeparator" w:id="0">
    <w:p w14:paraId="4D2B310A" w14:textId="77777777" w:rsidR="00F76194" w:rsidRDefault="00F76194">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9B29BB"/>
    <w:multiLevelType w:val="hybridMultilevel"/>
    <w:tmpl w:val="6AACCDA2"/>
    <w:lvl w:ilvl="0" w:tplc="1464AC50">
      <w:start w:val="1"/>
      <w:numFmt w:val="decimal"/>
      <w:lvlText w:val="%1)"/>
      <w:lvlJc w:val="left"/>
      <w:pPr>
        <w:ind w:left="644" w:hanging="360"/>
      </w:pPr>
      <w:rPr>
        <w:rFonts w:cs="TimesNewRomanPSMT" w:hint="default"/>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10" w15:restartNumberingAfterBreak="0">
    <w:nsid w:val="081E0AFA"/>
    <w:multiLevelType w:val="hybridMultilevel"/>
    <w:tmpl w:val="6CD4845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3DA2BC4">
      <w:start w:val="1"/>
      <w:numFmt w:val="lowerLetter"/>
      <w:lvlText w:val="%3)"/>
      <w:lvlJc w:val="left"/>
      <w:pPr>
        <w:ind w:left="2340" w:hanging="360"/>
      </w:pPr>
      <w:rPr>
        <w:rFonts w:asciiTheme="majorHAnsi" w:hAnsiTheme="maj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7FDECB46"/>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225360E"/>
    <w:multiLevelType w:val="hybridMultilevel"/>
    <w:tmpl w:val="DE3412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A7C374A"/>
    <w:multiLevelType w:val="hybridMultilevel"/>
    <w:tmpl w:val="941A13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FFF3759"/>
    <w:multiLevelType w:val="hybridMultilevel"/>
    <w:tmpl w:val="FD9A9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C53224F"/>
    <w:multiLevelType w:val="hybridMultilevel"/>
    <w:tmpl w:val="BB7C1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48"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AC00E94"/>
    <w:multiLevelType w:val="hybridMultilevel"/>
    <w:tmpl w:val="42ECD7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BCD3AE5"/>
    <w:multiLevelType w:val="hybridMultilevel"/>
    <w:tmpl w:val="2F8C7D9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D44635B"/>
    <w:multiLevelType w:val="hybridMultilevel"/>
    <w:tmpl w:val="E2C437A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num w:numId="1">
    <w:abstractNumId w:val="2"/>
  </w:num>
  <w:num w:numId="2">
    <w:abstractNumId w:val="1"/>
  </w:num>
  <w:num w:numId="3">
    <w:abstractNumId w:val="0"/>
  </w:num>
  <w:num w:numId="4">
    <w:abstractNumId w:val="54"/>
  </w:num>
  <w:num w:numId="5">
    <w:abstractNumId w:val="36"/>
  </w:num>
  <w:num w:numId="6">
    <w:abstractNumId w:val="51"/>
  </w:num>
  <w:num w:numId="7">
    <w:abstractNumId w:val="12"/>
  </w:num>
  <w:num w:numId="8">
    <w:abstractNumId w:val="27"/>
  </w:num>
  <w:num w:numId="9">
    <w:abstractNumId w:val="21"/>
  </w:num>
  <w:num w:numId="10">
    <w:abstractNumId w:val="29"/>
  </w:num>
  <w:num w:numId="11">
    <w:abstractNumId w:val="13"/>
  </w:num>
  <w:num w:numId="12">
    <w:abstractNumId w:val="48"/>
  </w:num>
  <w:num w:numId="13">
    <w:abstractNumId w:val="45"/>
  </w:num>
  <w:num w:numId="14">
    <w:abstractNumId w:val="43"/>
    <w:lvlOverride w:ilvl="0">
      <w:startOverride w:val="1"/>
    </w:lvlOverride>
  </w:num>
  <w:num w:numId="15">
    <w:abstractNumId w:val="35"/>
    <w:lvlOverride w:ilvl="0">
      <w:startOverride w:val="1"/>
    </w:lvlOverride>
  </w:num>
  <w:num w:numId="16">
    <w:abstractNumId w:val="26"/>
  </w:num>
  <w:num w:numId="17">
    <w:abstractNumId w:val="15"/>
  </w:num>
  <w:num w:numId="18">
    <w:abstractNumId w:val="44"/>
  </w:num>
  <w:num w:numId="19">
    <w:abstractNumId w:val="32"/>
  </w:num>
  <w:num w:numId="20">
    <w:abstractNumId w:val="28"/>
  </w:num>
  <w:num w:numId="21">
    <w:abstractNumId w:val="57"/>
  </w:num>
  <w:num w:numId="22">
    <w:abstractNumId w:val="58"/>
  </w:num>
  <w:num w:numId="23">
    <w:abstractNumId w:val="33"/>
  </w:num>
  <w:num w:numId="24">
    <w:abstractNumId w:val="31"/>
  </w:num>
  <w:num w:numId="25">
    <w:abstractNumId w:val="23"/>
  </w:num>
  <w:num w:numId="26">
    <w:abstractNumId w:val="25"/>
  </w:num>
  <w:num w:numId="27">
    <w:abstractNumId w:val="55"/>
  </w:num>
  <w:num w:numId="28">
    <w:abstractNumId w:val="49"/>
  </w:num>
  <w:num w:numId="29">
    <w:abstractNumId w:val="38"/>
  </w:num>
  <w:num w:numId="30">
    <w:abstractNumId w:val="4"/>
  </w:num>
  <w:num w:numId="31">
    <w:abstractNumId w:val="34"/>
  </w:num>
  <w:num w:numId="32">
    <w:abstractNumId w:val="20"/>
  </w:num>
  <w:num w:numId="33">
    <w:abstractNumId w:val="30"/>
  </w:num>
  <w:num w:numId="34">
    <w:abstractNumId w:val="46"/>
  </w:num>
  <w:num w:numId="35">
    <w:abstractNumId w:val="8"/>
  </w:num>
  <w:num w:numId="36">
    <w:abstractNumId w:val="37"/>
  </w:num>
  <w:num w:numId="37">
    <w:abstractNumId w:val="53"/>
  </w:num>
  <w:num w:numId="38">
    <w:abstractNumId w:val="41"/>
  </w:num>
  <w:num w:numId="39">
    <w:abstractNumId w:val="24"/>
  </w:num>
  <w:num w:numId="40">
    <w:abstractNumId w:val="10"/>
  </w:num>
  <w:num w:numId="41">
    <w:abstractNumId w:val="56"/>
  </w:num>
  <w:num w:numId="42">
    <w:abstractNumId w:val="19"/>
  </w:num>
  <w:num w:numId="43">
    <w:abstractNumId w:val="17"/>
  </w:num>
  <w:num w:numId="44">
    <w:abstractNumId w:val="40"/>
  </w:num>
  <w:num w:numId="45">
    <w:abstractNumId w:val="14"/>
  </w:num>
  <w:num w:numId="46">
    <w:abstractNumId w:val="52"/>
  </w:num>
  <w:num w:numId="47">
    <w:abstractNumId w:val="16"/>
  </w:num>
  <w:num w:numId="48">
    <w:abstractNumId w:val="9"/>
  </w:num>
  <w:num w:numId="49">
    <w:abstractNumId w:val="50"/>
  </w:num>
  <w:num w:numId="50">
    <w:abstractNumId w:val="42"/>
  </w:num>
  <w:num w:numId="51">
    <w:abstractNumId w:val="39"/>
  </w:num>
  <w:num w:numId="52">
    <w:abstractNumId w:val="60"/>
  </w:num>
  <w:num w:numId="53">
    <w:abstractNumId w:val="18"/>
  </w:num>
  <w:num w:numId="54">
    <w:abstractNumId w:val="47"/>
  </w:num>
  <w:num w:numId="55">
    <w:abstractNumId w:val="22"/>
  </w:num>
  <w:num w:numId="56">
    <w:abstractNumId w:val="5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671D"/>
    <w:rsid w:val="002F7211"/>
    <w:rsid w:val="0030054D"/>
    <w:rsid w:val="00302547"/>
    <w:rsid w:val="00304741"/>
    <w:rsid w:val="00305057"/>
    <w:rsid w:val="00305158"/>
    <w:rsid w:val="0030539D"/>
    <w:rsid w:val="0030561E"/>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7485"/>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F55D-AD37-4BB9-A34C-D4565277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8323</Words>
  <Characters>49941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15</cp:revision>
  <cp:lastPrinted>2023-03-02T10:48:00Z</cp:lastPrinted>
  <dcterms:created xsi:type="dcterms:W3CDTF">2023-03-01T11:27:00Z</dcterms:created>
  <dcterms:modified xsi:type="dcterms:W3CDTF">2023-03-02T12:10:00Z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