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E05" w14:textId="32720F9A" w:rsidR="000E27C2" w:rsidRPr="0044618F" w:rsidRDefault="004C7BE3" w:rsidP="00F413F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292F37E1" wp14:editId="169A245F">
            <wp:extent cx="5762625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FF18" w14:textId="77267609" w:rsidR="006158FD" w:rsidRPr="0044618F" w:rsidRDefault="006158FD" w:rsidP="000677AB">
      <w:pPr>
        <w:spacing w:after="0" w:line="240" w:lineRule="auto"/>
        <w:jc w:val="right"/>
        <w:rPr>
          <w:rFonts w:cs="Calibri"/>
          <w:b/>
        </w:rPr>
      </w:pPr>
      <w:r w:rsidRPr="0044618F">
        <w:rPr>
          <w:rFonts w:cs="Calibri"/>
          <w:b/>
        </w:rPr>
        <w:t>Załącznik nr 1</w:t>
      </w:r>
      <w:r w:rsidR="00F86EE5">
        <w:rPr>
          <w:rFonts w:cs="Calibri"/>
          <w:b/>
        </w:rPr>
        <w:t xml:space="preserve"> </w:t>
      </w:r>
      <w:r w:rsidR="000564D6">
        <w:rPr>
          <w:rFonts w:cs="Calibri"/>
          <w:b/>
        </w:rPr>
        <w:t>do S</w:t>
      </w:r>
      <w:r w:rsidRPr="0044618F">
        <w:rPr>
          <w:rFonts w:cs="Calibri"/>
          <w:b/>
        </w:rPr>
        <w:t>WZ</w:t>
      </w:r>
    </w:p>
    <w:p w14:paraId="0568F711" w14:textId="36EFD3AC" w:rsidR="006158FD" w:rsidRPr="0044618F" w:rsidRDefault="00F86EE5" w:rsidP="00F86EE5">
      <w:pPr>
        <w:spacing w:after="0" w:line="240" w:lineRule="auto"/>
        <w:ind w:left="11328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FB513B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</w:t>
      </w:r>
      <w:r w:rsidR="006158FD" w:rsidRPr="0044618F">
        <w:rPr>
          <w:rFonts w:cs="Calibri"/>
          <w:b/>
        </w:rPr>
        <w:t xml:space="preserve">Nr postępowania </w:t>
      </w:r>
      <w:r w:rsidR="00FB513B">
        <w:rPr>
          <w:rFonts w:cs="Calibri"/>
          <w:b/>
        </w:rPr>
        <w:t>6/2022</w:t>
      </w:r>
      <w:r>
        <w:rPr>
          <w:rFonts w:cs="Calibri"/>
          <w:b/>
        </w:rPr>
        <w:t>/PN/DZP</w:t>
      </w:r>
    </w:p>
    <w:p w14:paraId="22842400" w14:textId="77777777" w:rsidR="00F86EE5" w:rsidRDefault="00F86EE5" w:rsidP="000677AB">
      <w:pPr>
        <w:spacing w:after="0" w:line="240" w:lineRule="auto"/>
        <w:jc w:val="center"/>
        <w:rPr>
          <w:rFonts w:cs="Calibri"/>
          <w:b/>
        </w:rPr>
      </w:pPr>
    </w:p>
    <w:p w14:paraId="26DAF542" w14:textId="4265C694" w:rsidR="006158FD" w:rsidRPr="0044618F" w:rsidRDefault="00F86EE5" w:rsidP="000677A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CENOWY / </w:t>
      </w:r>
      <w:r w:rsidR="007F7A5F">
        <w:rPr>
          <w:rFonts w:cs="Calibri"/>
          <w:b/>
        </w:rPr>
        <w:t>OPIS PRZEDMIOTU ZAMÓWIENIA</w:t>
      </w:r>
    </w:p>
    <w:p w14:paraId="449BDCDE" w14:textId="5051C3BC" w:rsidR="006279DA" w:rsidRDefault="00FB513B" w:rsidP="00FB513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B513B">
        <w:rPr>
          <w:rFonts w:eastAsia="Times New Roman" w:cs="Calibri"/>
          <w:b/>
          <w:bCs/>
          <w:color w:val="000000"/>
          <w:lang w:eastAsia="pl-PL"/>
        </w:rPr>
        <w:t xml:space="preserve">Zestaw urządzeń do przechowywania i transportu preparatów ze zwłok zwierząt dla Wydziału Medycyny 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Pr="00FB513B">
        <w:rPr>
          <w:rFonts w:eastAsia="Times New Roman" w:cs="Calibri"/>
          <w:b/>
          <w:bCs/>
          <w:color w:val="000000"/>
          <w:lang w:eastAsia="pl-PL"/>
        </w:rPr>
        <w:t>WiM</w:t>
      </w:r>
      <w:proofErr w:type="spellEnd"/>
      <w:r w:rsidRPr="00FB513B">
        <w:rPr>
          <w:rFonts w:eastAsia="Times New Roman" w:cs="Calibri"/>
          <w:b/>
          <w:bCs/>
          <w:color w:val="000000"/>
          <w:lang w:eastAsia="pl-PL"/>
        </w:rPr>
        <w:t xml:space="preserve"> 2014-2020.</w:t>
      </w:r>
    </w:p>
    <w:p w14:paraId="6BCEE035" w14:textId="77777777" w:rsidR="00FB513B" w:rsidRDefault="00FB513B" w:rsidP="00FB513B">
      <w:pPr>
        <w:spacing w:after="0" w:line="240" w:lineRule="auto"/>
        <w:jc w:val="center"/>
        <w:rPr>
          <w:rFonts w:cs="Calibri"/>
          <w:b/>
          <w:bCs/>
        </w:rPr>
      </w:pPr>
    </w:p>
    <w:p w14:paraId="655D1D01" w14:textId="31921FEE" w:rsidR="004B131D" w:rsidRPr="004B131D" w:rsidRDefault="004B131D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bookmarkStart w:id="0" w:name="_Hlk54258094"/>
      <w:r w:rsidRPr="004B131D">
        <w:rPr>
          <w:rFonts w:cs="Calibri"/>
        </w:rPr>
        <w:t xml:space="preserve">Zestaw urządzeń do przechowywania </w:t>
      </w:r>
      <w:r w:rsidR="007531ED">
        <w:rPr>
          <w:rFonts w:cs="Calibri"/>
        </w:rPr>
        <w:t xml:space="preserve">i transportu </w:t>
      </w:r>
      <w:r w:rsidRPr="004B131D">
        <w:rPr>
          <w:rFonts w:cs="Calibri"/>
        </w:rPr>
        <w:t>preparatów ze zwłok zwierząt:</w:t>
      </w:r>
    </w:p>
    <w:p w14:paraId="3896D790" w14:textId="7C15A4B8" w:rsidR="00BB2CDF" w:rsidRPr="004B131D" w:rsidRDefault="005D35B6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Basen formalinowy 4-miejscowy</w:t>
      </w:r>
    </w:p>
    <w:bookmarkEnd w:id="0"/>
    <w:p w14:paraId="3DD2C18D" w14:textId="50E24217" w:rsidR="00C912D6" w:rsidRPr="004B131D" w:rsidRDefault="0049561A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Komora chłodnicza na 8 miejsc (2 przedziały po 4 miejsca na tacach)</w:t>
      </w:r>
    </w:p>
    <w:p w14:paraId="130E4A3E" w14:textId="43A2EBFB" w:rsidR="00650430" w:rsidRPr="004B131D" w:rsidRDefault="00650430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Wózek-stół-przenośnik hydrauliczny</w:t>
      </w:r>
    </w:p>
    <w:p w14:paraId="2F5016D1" w14:textId="77777777" w:rsidR="0014192B" w:rsidRDefault="0014192B" w:rsidP="00C912D6">
      <w:pPr>
        <w:spacing w:after="0" w:line="240" w:lineRule="auto"/>
        <w:rPr>
          <w:rFonts w:cs="Calibri"/>
        </w:rPr>
      </w:pPr>
    </w:p>
    <w:p w14:paraId="67178F78" w14:textId="68058928" w:rsidR="00B953E5" w:rsidRPr="0044618F" w:rsidRDefault="007531ED" w:rsidP="000677AB">
      <w:pPr>
        <w:spacing w:after="0" w:line="240" w:lineRule="auto"/>
        <w:rPr>
          <w:rFonts w:cs="Calibri"/>
          <w:b/>
          <w:bCs/>
        </w:rPr>
      </w:pPr>
      <w:r w:rsidRPr="007531ED">
        <w:rPr>
          <w:rFonts w:eastAsia="Times New Roman" w:cs="Calibri"/>
          <w:b/>
          <w:color w:val="000000"/>
          <w:lang w:eastAsia="pl-PL"/>
        </w:rPr>
        <w:t>Zestaw urządzeń do przechowywania i transportu preparatów ze zwłok zwierząt: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61DE23A4" w14:textId="77777777" w:rsidTr="0011580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D45A" w14:textId="77777777" w:rsidR="00185194" w:rsidRPr="0044618F" w:rsidRDefault="00185194" w:rsidP="000677A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2770" w14:textId="77777777" w:rsidR="00185194" w:rsidRPr="0044618F" w:rsidRDefault="00185194" w:rsidP="000677A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3A5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F9E" w14:textId="44235E95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AE03" w14:textId="05A5738A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5DFE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95E4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3FEE1CCA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4649" w14:textId="77777777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3416" w14:textId="77777777" w:rsidR="00185194" w:rsidRPr="0044618F" w:rsidRDefault="00185194" w:rsidP="000677A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1A78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87B" w14:textId="33676B73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256A" w14:textId="747C846F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39B5" w14:textId="38739E73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CBAB" w14:textId="3A7B51B6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7D680D1E" w14:textId="77777777" w:rsidTr="007A1513">
        <w:trPr>
          <w:trHeight w:val="44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331C" w14:textId="4223C794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D8AD" w14:textId="373C4E51" w:rsidR="00185194" w:rsidRPr="007531ED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7531ED">
              <w:rPr>
                <w:rFonts w:cs="Calibri"/>
                <w:b/>
                <w:bCs/>
              </w:rPr>
              <w:t>Basen formalinowy 4-miejscowy</w:t>
            </w:r>
            <w:r>
              <w:rPr>
                <w:rFonts w:cs="Calibri"/>
                <w:b/>
                <w:bCs/>
              </w:rPr>
              <w:t xml:space="preserve">                                              </w:t>
            </w:r>
          </w:p>
        </w:tc>
      </w:tr>
      <w:tr w:rsidR="00185194" w:rsidRPr="0044618F" w14:paraId="5D6EA314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37AB" w14:textId="51FF170A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A71" w14:textId="46CCEAA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Specjalistyczny basen do długotrwałego przechowywania preparatów anatomicznych w roztworach konserwujących.</w:t>
            </w:r>
          </w:p>
          <w:p w14:paraId="102399C3" w14:textId="3173CE79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 xml:space="preserve">Wykonanie ze stali kwasoodpornej min. 1.4301 EN 10088 </w:t>
            </w:r>
            <w:r>
              <w:rPr>
                <w:rFonts w:cstheme="minorHAnsi"/>
              </w:rPr>
              <w:t>(</w:t>
            </w:r>
            <w:r w:rsidRPr="005D35B6">
              <w:rPr>
                <w:rFonts w:cstheme="minorHAnsi"/>
              </w:rPr>
              <w:t xml:space="preserve">wnętrze basenu i elementy mające bezpośredni kontakt z roztworem </w:t>
            </w:r>
            <w:proofErr w:type="spellStart"/>
            <w:r w:rsidRPr="005D35B6">
              <w:rPr>
                <w:rFonts w:cstheme="minorHAnsi"/>
              </w:rPr>
              <w:t>paraformalde</w:t>
            </w:r>
            <w:del w:id="1" w:author="BOGDAN" w:date="2021-04-15T21:56:00Z">
              <w:r w:rsidRPr="005D35B6" w:rsidDel="00A031EB">
                <w:rPr>
                  <w:rFonts w:cstheme="minorHAnsi"/>
                </w:rPr>
                <w:delText>c</w:delText>
              </w:r>
            </w:del>
            <w:r w:rsidRPr="005D35B6">
              <w:rPr>
                <w:rFonts w:cstheme="minorHAnsi"/>
              </w:rPr>
              <w:t>hydu</w:t>
            </w:r>
            <w:proofErr w:type="spellEnd"/>
            <w:r w:rsidRPr="005D35B6">
              <w:rPr>
                <w:rFonts w:cstheme="minorHAnsi"/>
              </w:rPr>
              <w:t xml:space="preserve"> – tace/sita, kosze wykonane ze stali min. 1.4404</w:t>
            </w:r>
            <w:r>
              <w:rPr>
                <w:rFonts w:cstheme="minorHAnsi"/>
              </w:rPr>
              <w:t>)</w:t>
            </w:r>
            <w:r w:rsidRPr="005D35B6">
              <w:rPr>
                <w:rFonts w:cstheme="minorHAnsi"/>
              </w:rPr>
              <w:t>.</w:t>
            </w:r>
          </w:p>
          <w:p w14:paraId="40CE9938" w14:textId="7AA0B9BF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lastRenderedPageBreak/>
              <w:t>Ilość miejsc niezależnych od siebie: 3 (z możliwością podziału wzdłużnego dolnej tacy i uzyskania 4 miejsc).</w:t>
            </w:r>
          </w:p>
          <w:p w14:paraId="50D8C8D8" w14:textId="7F83570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Zbiornik na formalinę 2 warstwowy, okryty płaszczem osłaniającym.</w:t>
            </w:r>
          </w:p>
          <w:p w14:paraId="279DD598" w14:textId="61082B1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Wymiary całkowite: szerokość 165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>-175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m, wysokość max: 230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m, długość max 220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m.</w:t>
            </w:r>
          </w:p>
          <w:p w14:paraId="6D17FADD" w14:textId="11695D22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Wysokość zbiornika na formalinę max 140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  <w:p w14:paraId="4BFFD789" w14:textId="26AE724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Ze względu na specyfikę pomieszczenia basen oraz zespół podnoszenia tac na zwłoki musi być dostarczony osobno i złożony na miejscu.</w:t>
            </w:r>
          </w:p>
          <w:p w14:paraId="30FC884C" w14:textId="42C4C1D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Obydwa elementy</w:t>
            </w:r>
            <w:r>
              <w:rPr>
                <w:rFonts w:cstheme="minorHAnsi"/>
              </w:rPr>
              <w:t>,</w:t>
            </w:r>
            <w:r w:rsidRPr="005D35B6">
              <w:rPr>
                <w:rFonts w:cstheme="minorHAnsi"/>
              </w:rPr>
              <w:t xml:space="preserve"> zarówno basen jak i zespół podnoszenia</w:t>
            </w:r>
            <w:r>
              <w:rPr>
                <w:rFonts w:cstheme="minorHAnsi"/>
              </w:rPr>
              <w:t>,</w:t>
            </w:r>
            <w:r w:rsidRPr="005D35B6">
              <w:rPr>
                <w:rFonts w:cstheme="minorHAnsi"/>
              </w:rPr>
              <w:t xml:space="preserve"> muszą zmieścić się w istniejących otworach budynku (o wymiarach max. 2200x1550 mm) celem wprowadzenia. Czynności wymagane do wprowadzenia urządzenia do budynku (ewentualny demontaż/montaż okna/drzwi) wymagają przywrócenia stanu pierwotnego (np. wstawienie okna, drobne prace wykończeniowe etc.).</w:t>
            </w:r>
          </w:p>
          <w:p w14:paraId="6305AA2B" w14:textId="1E40B3F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Zwór spustowy formaliny; zawór kulowy 50/60 wykonany ze stali kwasoodpornej usytuowany w miejscu wskazanym przez Zamawiającego</w:t>
            </w:r>
            <w:r>
              <w:rPr>
                <w:rFonts w:cstheme="minorHAnsi"/>
              </w:rPr>
              <w:t>.</w:t>
            </w:r>
          </w:p>
          <w:p w14:paraId="6B5E164D" w14:textId="10FAB7E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Ściany i dno basenu wzmacniane. Pokrywa wzmocniona hermetyczna, automatycznie podnoszona za pomocą siłownika hydraulicznego.</w:t>
            </w:r>
          </w:p>
          <w:p w14:paraId="138A6A48" w14:textId="51AC25B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Uszczelnienie hermetyczne pokrywy i basenu odporne na formalinę.</w:t>
            </w:r>
          </w:p>
          <w:p w14:paraId="401C0B9F" w14:textId="0B4EAB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System otwierania pokrywy napędzany za pomocą silnika elektrycznego.</w:t>
            </w:r>
          </w:p>
          <w:p w14:paraId="0EF6A6D6" w14:textId="3B6D705E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System automatycznego podnoszenia preparatów z formaliny do wysokości brzegu basenu.</w:t>
            </w:r>
          </w:p>
          <w:p w14:paraId="0E797427" w14:textId="3E6996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lastRenderedPageBreak/>
              <w:t>Sterowanie system podnoszenia z pilota oraz dodatkowo z panelu sterującego zainstalowanego w miejscu wskazanym przez Zamawiającego.</w:t>
            </w:r>
          </w:p>
          <w:p w14:paraId="6469B111" w14:textId="1AA408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Możliwość zatrzymania stelażu z preparatami w dowolnym momencie podnoszenia.</w:t>
            </w:r>
          </w:p>
          <w:p w14:paraId="45BABC28" w14:textId="1DFBA31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Konstrukcja pozwalająca na spust formaliny z basenu.</w:t>
            </w:r>
          </w:p>
          <w:p w14:paraId="27D12259" w14:textId="47F1D73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Załadunek i rozładunek od czoła basenu oraz z dostępem z dwóch dłuższych boków.</w:t>
            </w:r>
          </w:p>
          <w:p w14:paraId="1D1F85AE" w14:textId="681DB077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Silnik i pompa napędzające system podnoszenia umieszczone przy urządzeniu.</w:t>
            </w:r>
          </w:p>
          <w:p w14:paraId="5D58136A" w14:textId="3D4C5AE1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 wyposażeniu basenu tace-sita na preparaty umieszczone na 2 poziomach – górnym i dolnym.</w:t>
            </w:r>
          </w:p>
          <w:p w14:paraId="16EDB3FC" w14:textId="57E0A141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Odległość między dolnym poziomem a górnym min. 700 mm; odległość między górnym poziomem a wiekiem basenu min. 500 mm</w:t>
            </w:r>
            <w:r>
              <w:rPr>
                <w:rFonts w:cstheme="minorHAnsi"/>
              </w:rPr>
              <w:t>.</w:t>
            </w:r>
          </w:p>
          <w:p w14:paraId="381E824B" w14:textId="5E577B1A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Tace-sita na preparaty dostosowane do stelaża wewnętrznego basenu</w:t>
            </w:r>
            <w:r>
              <w:rPr>
                <w:rFonts w:cstheme="minorHAnsi"/>
              </w:rPr>
              <w:t>.</w:t>
            </w:r>
          </w:p>
          <w:p w14:paraId="0579567C" w14:textId="2880A49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Dolny poziom jako jedno duże stałe sito obejmujące całą szerokość basenu (tj. szerokość min. 1400 mm, długość min. 2000 mm) z możliwością symetrycznego podziału wzdłużnego poprzez wyjmowaną przegrodę. Nośność stanowiska minimum 400 kg</w:t>
            </w:r>
            <w:r>
              <w:rPr>
                <w:rFonts w:cstheme="minorHAnsi"/>
              </w:rPr>
              <w:t>.</w:t>
            </w:r>
          </w:p>
          <w:p w14:paraId="1AF7815B" w14:textId="6E40AC80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Tace–sita poziomu górnego (2 sztuki) o wymiarze nie mniejszym niż: szer. 700 mm, długość: 2000 mm. Możliwość podziału/odgrodzenia (w poprzek osi długiej) powierzchni jednej tacy przez wyjmowane/przesuwane/ruchome przegrody na min. 2 asymetryczne części</w:t>
            </w:r>
            <w:r>
              <w:rPr>
                <w:rFonts w:cstheme="minorHAnsi"/>
              </w:rPr>
              <w:t xml:space="preserve">. </w:t>
            </w:r>
            <w:r w:rsidRPr="005D35B6">
              <w:rPr>
                <w:rFonts w:cstheme="minorHAnsi"/>
              </w:rPr>
              <w:t>Druga taca wyposażona w zestaw wyjmowanych asymetrycznych koszy siatkowych (min. 4</w:t>
            </w:r>
            <w:r>
              <w:rPr>
                <w:rFonts w:cstheme="minorHAnsi"/>
              </w:rPr>
              <w:t>) do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D35B6">
              <w:rPr>
                <w:rFonts w:cstheme="minorHAnsi"/>
              </w:rPr>
              <w:t xml:space="preserve">przechowywania mniejszych </w:t>
            </w:r>
            <w:r w:rsidRPr="005D35B6">
              <w:rPr>
                <w:rFonts w:cstheme="minorHAnsi"/>
              </w:rPr>
              <w:lastRenderedPageBreak/>
              <w:t>preparatów. Nośność poszczególnych stanowisk poziomu górnego  minimum 200 kg</w:t>
            </w:r>
            <w:r>
              <w:rPr>
                <w:rFonts w:cstheme="minorHAnsi"/>
              </w:rPr>
              <w:t>.</w:t>
            </w:r>
          </w:p>
          <w:p w14:paraId="242A3D47" w14:textId="1BB3023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Tace–sita perforowane na całej długość w celu odsączenia preparatów z formaliny</w:t>
            </w:r>
            <w:r>
              <w:rPr>
                <w:rFonts w:cstheme="minorHAnsi"/>
              </w:rPr>
              <w:t>.</w:t>
            </w:r>
          </w:p>
          <w:p w14:paraId="037D8FA2" w14:textId="04F0B2FA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Konstrukcja umożliwiająca łatwy załadunek i rozładunek basenu przez jedną osobę</w:t>
            </w:r>
            <w:r>
              <w:rPr>
                <w:rFonts w:cstheme="minorHAnsi"/>
              </w:rPr>
              <w:t>.</w:t>
            </w:r>
          </w:p>
          <w:p w14:paraId="02FBEE3B" w14:textId="756F151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Stelaż nośny sit na zwłoki podnoszony do żądanego poziomu</w:t>
            </w:r>
            <w:r>
              <w:rPr>
                <w:rFonts w:cstheme="minorHAnsi"/>
              </w:rPr>
              <w:t>.</w:t>
            </w:r>
          </w:p>
          <w:p w14:paraId="15EEFFA3" w14:textId="05922848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Dodatkowo na wyposażeniu komplet 6 perforowanych koszy o pojemności min 5 litrów – na preparaty drobne</w:t>
            </w:r>
            <w:r>
              <w:rPr>
                <w:rFonts w:cstheme="minorHAnsi"/>
              </w:rPr>
              <w:t>.</w:t>
            </w:r>
          </w:p>
          <w:p w14:paraId="0CD1DE85" w14:textId="23BB771F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Minimalna nośność basenu (całkowity ciężar preparatów) 800 kg.</w:t>
            </w:r>
          </w:p>
          <w:p w14:paraId="5EEBC3DC" w14:textId="44271BA9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D35B6">
              <w:rPr>
                <w:rFonts w:cstheme="minorHAnsi"/>
              </w:rPr>
              <w:t>System wspomagający wyjmowanie i załadunek tac-sit na zwłoki –</w:t>
            </w:r>
            <w:r>
              <w:rPr>
                <w:rFonts w:cstheme="minorHAnsi"/>
              </w:rPr>
              <w:t xml:space="preserve"> </w:t>
            </w:r>
            <w:r w:rsidRPr="005D35B6">
              <w:rPr>
                <w:rFonts w:cstheme="minorHAnsi"/>
              </w:rPr>
              <w:t>stelaż wewnętrzny wyposażony w elementy ruchome ułatwiające załadunek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4F1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CF2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791B" w14:textId="3CA2C0A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C8F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511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6C58852" w14:textId="77777777" w:rsidTr="005F4A4D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01A56" w14:textId="0E36C574" w:rsidR="00185194" w:rsidRPr="0044618F" w:rsidRDefault="00185194" w:rsidP="009318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B0E03" w14:textId="1C88976F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Komora chłodnicza na 8 miejsc                                                  </w:t>
            </w:r>
          </w:p>
        </w:tc>
      </w:tr>
      <w:tr w:rsidR="00185194" w:rsidRPr="0044618F" w14:paraId="6E90057C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8CB6" w14:textId="1FE83F9A" w:rsidR="00185194" w:rsidRPr="0044618F" w:rsidRDefault="00185194" w:rsidP="0093187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A63" w14:textId="66770474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Specjalistyczna komora chłodnicza do przechowywania i preparatów i zwłok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- 2 drzwiowa</w:t>
            </w:r>
            <w:r>
              <w:rPr>
                <w:rFonts w:cstheme="minorHAnsi"/>
              </w:rPr>
              <w:t>.</w:t>
            </w:r>
          </w:p>
          <w:p w14:paraId="067CCD46" w14:textId="7FFF5700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Preparaty - zwłoki przechowywane na 4 piętrach</w:t>
            </w:r>
            <w:r>
              <w:rPr>
                <w:rFonts w:cstheme="minorHAnsi"/>
              </w:rPr>
              <w:t>.</w:t>
            </w:r>
          </w:p>
          <w:p w14:paraId="7CDB99B8" w14:textId="6848949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 całości zarówno wewnątrz jak i na zewnątrz wykonana ze stali kwasoodpornej min. 1.4301 EN 10088</w:t>
            </w:r>
            <w:r>
              <w:rPr>
                <w:rFonts w:cstheme="minorHAnsi"/>
              </w:rPr>
              <w:t>.</w:t>
            </w:r>
          </w:p>
          <w:p w14:paraId="0FA516E4" w14:textId="49A3317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Budowa komory z paneli nośnych typu „sandwich” o grubości min </w:t>
            </w:r>
            <w:r>
              <w:rPr>
                <w:rFonts w:cstheme="minorHAnsi"/>
              </w:rPr>
              <w:t>100</w:t>
            </w:r>
            <w:r w:rsidRPr="0049561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.</w:t>
            </w:r>
          </w:p>
          <w:p w14:paraId="4B6BE3CC" w14:textId="7C4E410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</w:t>
            </w:r>
            <w:r w:rsidRPr="0049561A">
              <w:rPr>
                <w:rFonts w:cstheme="minorHAnsi"/>
              </w:rPr>
              <w:t xml:space="preserve"> miejsc :8</w:t>
            </w:r>
            <w:r>
              <w:rPr>
                <w:rFonts w:cstheme="minorHAnsi"/>
              </w:rPr>
              <w:t>.</w:t>
            </w:r>
          </w:p>
          <w:p w14:paraId="050EE114" w14:textId="2EC4124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Komory przystosowane do przechowywania zwłok na ruchomych tacach, układanych i wyjmowanych przy pomocy wózka transportowego z hydraulicznym podnoszeniem pomostu roboczego, </w:t>
            </w:r>
            <w:r w:rsidRPr="0049561A">
              <w:rPr>
                <w:rFonts w:cstheme="minorHAnsi"/>
              </w:rPr>
              <w:lastRenderedPageBreak/>
              <w:t>wewnątrz system torów rolkowych po których poruszają się tace na zwłoki</w:t>
            </w:r>
            <w:r>
              <w:rPr>
                <w:rFonts w:cstheme="minorHAnsi"/>
              </w:rPr>
              <w:t xml:space="preserve"> –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liczba </w:t>
            </w:r>
            <w:r w:rsidRPr="0049561A">
              <w:rPr>
                <w:rFonts w:cstheme="minorHAnsi"/>
              </w:rPr>
              <w:t>tac 8szt.</w:t>
            </w:r>
          </w:p>
          <w:p w14:paraId="26DD792F" w14:textId="1AE9DEAA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Układ funkcjonalny miejsc ma wyglądać następująco i być zdublowany w dwóch identycznych kolumnach:</w:t>
            </w:r>
          </w:p>
          <w:p w14:paraId="16727D45" w14:textId="1DBFE3AF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szystkie tace o szerokości min. 700</w:t>
            </w:r>
            <w:r>
              <w:rPr>
                <w:rFonts w:cstheme="minorHAnsi"/>
              </w:rPr>
              <w:t> </w:t>
            </w:r>
            <w:r w:rsidRPr="0049561A">
              <w:rPr>
                <w:rFonts w:cstheme="minorHAnsi"/>
              </w:rPr>
              <w:t>mm wykonane ze stali min. 1.4404</w:t>
            </w:r>
            <w:r>
              <w:rPr>
                <w:rFonts w:cstheme="minorHAnsi"/>
              </w:rPr>
              <w:t>;</w:t>
            </w:r>
          </w:p>
          <w:p w14:paraId="413C77E3" w14:textId="5AFAFFF3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9561A">
              <w:rPr>
                <w:rFonts w:cstheme="minorHAnsi"/>
              </w:rPr>
              <w:t>ierwszy i drugi w kolejności od dołu poziom wyposażony w system blokady tacy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pozwalający na wysunięcie tacy do 70% jej długości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w taki sposób aby taca nie przeważyła i nie wypadła z prowadzenia, tzn. bez konieczności dokowania wózka/podnośnika hydraulicznego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49561A">
              <w:rPr>
                <w:rFonts w:cstheme="minorHAnsi"/>
              </w:rPr>
              <w:t>ystem wykonany w sposób umożliwiający całkowite wyjęcie tacy po zwolnieniu blokady</w:t>
            </w:r>
            <w:r>
              <w:rPr>
                <w:rFonts w:cstheme="minorHAnsi"/>
              </w:rPr>
              <w:t>;</w:t>
            </w:r>
          </w:p>
          <w:p w14:paraId="47D025AB" w14:textId="244EAB2D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9561A">
              <w:rPr>
                <w:rFonts w:cstheme="minorHAnsi"/>
              </w:rPr>
              <w:t>ozostałe dwa górne poziomy wyposażone w standardowe tace z możliwością pełnego wyjęcia</w:t>
            </w:r>
            <w:r>
              <w:rPr>
                <w:rFonts w:cstheme="minorHAnsi"/>
              </w:rPr>
              <w:t>.</w:t>
            </w:r>
          </w:p>
          <w:p w14:paraId="1741E1AC" w14:textId="4B1053DA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Po wyjęciu tac na preparaty swobodny dostęp do środka komory, brak poprzecznych elementów utrudniających poruszanie się we wnętrzu komory</w:t>
            </w:r>
            <w:r>
              <w:rPr>
                <w:rFonts w:cstheme="minorHAnsi"/>
              </w:rPr>
              <w:t>.</w:t>
            </w:r>
          </w:p>
          <w:p w14:paraId="557B4113" w14:textId="212CC6A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Drzwi w świetle: wysokość min. 1900 mm , szerokość min. 900 mm</w:t>
            </w:r>
            <w:r>
              <w:rPr>
                <w:rFonts w:cstheme="minorHAnsi"/>
              </w:rPr>
              <w:t>.</w:t>
            </w:r>
          </w:p>
          <w:p w14:paraId="747C5B94" w14:textId="214D3F28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wyposażona w oświetlenie wewnętrzne</w:t>
            </w:r>
            <w:r>
              <w:rPr>
                <w:rFonts w:cstheme="minorHAnsi"/>
              </w:rPr>
              <w:t>.</w:t>
            </w:r>
          </w:p>
          <w:p w14:paraId="61D22943" w14:textId="7DA28CF1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wyposażona w dwoje drzwi chłodniczych o płatach wykonanych z odpornego na uszkodzenia mechaniczne tworzywa sztucznego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>ażdy z płatów drzwi ma posiadać możliwość zamknięcia (zamek, wkładkę patentową lub inny mechanizm) z możliwością niezależnego (bezpiecznego) otwierania od wewnątrz komory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>ąt otwarcia drzwi powinien być tak dobrany, by przy załadunku ciał udostępnić cały prześwit otworu drzwi.</w:t>
            </w:r>
          </w:p>
          <w:p w14:paraId="5685C9C7" w14:textId="66975EA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lastRenderedPageBreak/>
              <w:t>Drzwi chłodnicze muszą posiadać możliwość regulacji siły docisku płatu względem uszczelki ościeżnicy.</w:t>
            </w:r>
          </w:p>
          <w:p w14:paraId="659ABA59" w14:textId="7C72F27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powinna posiadać tak ukształtowaną podłogę oraz umieszczony w niej spływ aby wszystkie nieczystości po myciu lub dezynfekcji można było doprowadzić na zewnątrz komory bezpośrednio do kanalizacji.</w:t>
            </w:r>
          </w:p>
          <w:p w14:paraId="7BEBC71D" w14:textId="41296580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ymiary zewnętrzne komory bez monobloku chłodniczego (minimalne): szerokość 2600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mm, głębokość 2400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mm, wysokość 2200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 (</w:t>
            </w:r>
            <w:r>
              <w:rPr>
                <w:rFonts w:cs="Calibri"/>
              </w:rPr>
              <w:t>±</w:t>
            </w:r>
            <w:r w:rsidRPr="0049561A">
              <w:rPr>
                <w:rFonts w:cstheme="minorHAnsi"/>
              </w:rPr>
              <w:t>50 mm)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Dokładne wymiary muszą zostać dostosowane do częściowej zabudowy wynikającej z kształtu pomieszczenia, w którym komora zostanie zainstalowana – zgodnie z lokalizacją wskazaną przez Zamawiającego</w:t>
            </w:r>
            <w:r>
              <w:rPr>
                <w:rFonts w:cstheme="minorHAnsi"/>
              </w:rPr>
              <w:t>.</w:t>
            </w:r>
          </w:p>
          <w:p w14:paraId="1F429B1F" w14:textId="670D03F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Zamawiający wymaga szczelnej zabudowy szczelin technologicznych powstałych przy montażu chłodni we wnęce pomieszczenia (np. poprzez zabudowę szczelną blendą/maskownicą) w celu niedopuszczenia przedostawania się zanieczyszczeń między ściany komory a ściany wnęki pomieszczenia.</w:t>
            </w:r>
          </w:p>
          <w:p w14:paraId="5945CA34" w14:textId="2E3097A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powinna być ustawiona na regulowanych nóżkach – podporach umożliwiających mycie i dezynfekcję przestrzeni pod komorą.</w:t>
            </w:r>
          </w:p>
          <w:p w14:paraId="656B13D7" w14:textId="5F8003D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Przestrzeń pod komorą (między podłogą a dnem komory) zabudowana z przodu i boku szczelną blendą/maskownicą zapobiegającą dostawania się zanieczyszczeń pod dno komory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49561A">
              <w:rPr>
                <w:rFonts w:cstheme="minorHAnsi"/>
              </w:rPr>
              <w:t>lenda z możliwością demontażu celem okresowego czyszczenia/odkażania.</w:t>
            </w:r>
          </w:p>
          <w:p w14:paraId="57E50EF9" w14:textId="68B78989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lastRenderedPageBreak/>
              <w:t>Komora wyposażona 2 niezależne agregaty chłodnicze obsługujące każdą część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ymagane wykonanie instalacji typu SPLIT z chłodnicą umieszczoną w komorze, a agregatem na zewnątrz budynku (zgodnie z lokalizacją wskazaną przez Zamawiającego)</w:t>
            </w:r>
            <w:r>
              <w:rPr>
                <w:rFonts w:cstheme="minorHAnsi"/>
              </w:rPr>
              <w:t>.</w:t>
            </w:r>
          </w:p>
          <w:p w14:paraId="097C4791" w14:textId="5769EDC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Agregat chłodniczy ma gwarantować samoczynne utrzymanie temperatury wewnątrz komory w zakresie od -5°C do +5°C.</w:t>
            </w:r>
          </w:p>
          <w:p w14:paraId="7FD248BC" w14:textId="75260A5E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Agregat chłodniczy ma posiadać system automatycznego </w:t>
            </w:r>
            <w:proofErr w:type="spellStart"/>
            <w:r w:rsidRPr="0049561A">
              <w:rPr>
                <w:rFonts w:cstheme="minorHAnsi"/>
              </w:rPr>
              <w:t>odszraniania</w:t>
            </w:r>
            <w:proofErr w:type="spellEnd"/>
            <w:r w:rsidRPr="0049561A">
              <w:rPr>
                <w:rFonts w:cstheme="minorHAnsi"/>
              </w:rPr>
              <w:t>.</w:t>
            </w:r>
          </w:p>
          <w:p w14:paraId="413D43F1" w14:textId="19C5DD1D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Gwarantowana temperatura powinna być jednakowa w całym przekroju komory.</w:t>
            </w:r>
          </w:p>
          <w:p w14:paraId="3F5E81ED" w14:textId="19DE4CF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Agregat powinien gwarantować wymuszony obieg powietrza wewnątrz komory tak aby każde ciało wewnątrz było jednakowo chłodzone.</w:t>
            </w:r>
          </w:p>
          <w:p w14:paraId="27AB3432" w14:textId="29239C0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Sterowanie chłodzeniem komory powinno się odbywać przy pomocy czytelnego cyfrowego panelu sterującego z wyświetlaczem cyfrowym o następujących funkcjach:</w:t>
            </w:r>
          </w:p>
          <w:p w14:paraId="6DFE267F" w14:textId="7E3757A6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wyświetlanie aktualnej temperatury wewnątrz komory</w:t>
            </w:r>
            <w:r>
              <w:rPr>
                <w:rFonts w:cstheme="minorHAnsi"/>
              </w:rPr>
              <w:t>,</w:t>
            </w:r>
          </w:p>
          <w:p w14:paraId="4A17C927" w14:textId="0F68A92F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wyświetlanie zadanej temperatury dla komory</w:t>
            </w:r>
            <w:r>
              <w:rPr>
                <w:rFonts w:cstheme="minorHAnsi"/>
              </w:rPr>
              <w:t>,</w:t>
            </w:r>
          </w:p>
          <w:p w14:paraId="0D8CB01E" w14:textId="1BA1AB33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możliwość programowania temperatury w ustalonym zakresie</w:t>
            </w:r>
            <w:r>
              <w:rPr>
                <w:rFonts w:cstheme="minorHAnsi"/>
              </w:rPr>
              <w:t>,</w:t>
            </w:r>
          </w:p>
          <w:p w14:paraId="694D254B" w14:textId="736077E4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sterowanie oświetleniem komory</w:t>
            </w:r>
            <w:r>
              <w:rPr>
                <w:rFonts w:cstheme="minorHAnsi"/>
              </w:rPr>
              <w:t>,</w:t>
            </w:r>
          </w:p>
          <w:p w14:paraId="4F9CA981" w14:textId="5BA63795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pracy sprężarki agregatu</w:t>
            </w:r>
            <w:r>
              <w:rPr>
                <w:rFonts w:cstheme="minorHAnsi"/>
              </w:rPr>
              <w:t>,</w:t>
            </w:r>
          </w:p>
          <w:p w14:paraId="481F8BFC" w14:textId="103279E7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pracy wentylatora agregatu wewnątrz komory</w:t>
            </w:r>
            <w:r>
              <w:rPr>
                <w:rFonts w:cstheme="minorHAnsi"/>
              </w:rPr>
              <w:t>,</w:t>
            </w:r>
          </w:p>
          <w:p w14:paraId="7D4A1F61" w14:textId="051065F0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awarii</w:t>
            </w:r>
            <w:r>
              <w:rPr>
                <w:rFonts w:cstheme="minorHAnsi"/>
              </w:rPr>
              <w:t>.</w:t>
            </w:r>
          </w:p>
          <w:p w14:paraId="1FA2CE77" w14:textId="55335F2F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Zasilanie elektryczne 230 V</w:t>
            </w:r>
            <w:r>
              <w:rPr>
                <w:rFonts w:cstheme="minorHAnsi"/>
              </w:rPr>
              <w:t>.</w:t>
            </w:r>
          </w:p>
          <w:p w14:paraId="43D77961" w14:textId="56DBE5D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lastRenderedPageBreak/>
              <w:t>Komora wyposażona w cyfrowy przenośny rejestrator temperatury umieszczony wewnątrz komory.</w:t>
            </w:r>
          </w:p>
          <w:p w14:paraId="3C586963" w14:textId="44D3C76F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z oprogramowaniem i możliwością podłączenia do komputera PC i dający możliwość tworzenia wykresów, analizy danych, wizualizacji, tworzenia wykresów, wydruków z możliwością eksportu do aplikacji Windows</w:t>
            </w:r>
            <w:r>
              <w:rPr>
                <w:rFonts w:cstheme="minorHAnsi"/>
              </w:rPr>
              <w:t>.</w:t>
            </w:r>
          </w:p>
          <w:p w14:paraId="26CFCB11" w14:textId="3CB7A592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o częstotliwości pomiaru co 30 min.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(</w:t>
            </w:r>
            <w:r>
              <w:rPr>
                <w:rFonts w:cs="Calibri"/>
              </w:rPr>
              <w:t>±</w:t>
            </w:r>
            <w:r w:rsidRPr="0049561A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minut)</w:t>
            </w:r>
          </w:p>
          <w:p w14:paraId="0CAE0553" w14:textId="250F70EB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z pamięcią co najmniej 3000 zapisów, zasilany baterią litową o trwałości co najmniej 30 dni</w:t>
            </w:r>
            <w:r>
              <w:rPr>
                <w:rFonts w:cstheme="minorHAnsi"/>
              </w:rPr>
              <w:t>.</w:t>
            </w:r>
          </w:p>
          <w:p w14:paraId="0B0EF2D5" w14:textId="2E15ACDD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pracujący w zakresie temperatur co najmniej -10°C do + 40°C</w:t>
            </w:r>
            <w:r>
              <w:rPr>
                <w:rFonts w:cstheme="minorHAnsi"/>
              </w:rPr>
              <w:t>.</w:t>
            </w:r>
          </w:p>
          <w:p w14:paraId="57869943" w14:textId="30C9828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System do dekontaminacji ozonem</w:t>
            </w:r>
            <w:r>
              <w:rPr>
                <w:rFonts w:cstheme="minorHAnsi"/>
              </w:rPr>
              <w:t>:</w:t>
            </w:r>
          </w:p>
          <w:p w14:paraId="61B28EE8" w14:textId="0D3B0A90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ydajność – min. 40 g ozonu/h (40 000 mg/h)</w:t>
            </w:r>
            <w:r>
              <w:rPr>
                <w:rFonts w:cstheme="minorHAnsi"/>
              </w:rPr>
              <w:t>,</w:t>
            </w:r>
          </w:p>
          <w:p w14:paraId="1A2145E2" w14:textId="0BBB4859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9561A">
              <w:rPr>
                <w:rFonts w:cstheme="minorHAnsi"/>
              </w:rPr>
              <w:t xml:space="preserve">apięcie zasilania – 230 VAC/50 </w:t>
            </w:r>
            <w:proofErr w:type="spellStart"/>
            <w:r w:rsidRPr="0049561A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,</w:t>
            </w:r>
          </w:p>
          <w:p w14:paraId="09829C49" w14:textId="12343FF4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moc min. – 250 W</w:t>
            </w:r>
            <w:r>
              <w:rPr>
                <w:rFonts w:cstheme="minorHAnsi"/>
              </w:rPr>
              <w:t>,</w:t>
            </w:r>
          </w:p>
          <w:p w14:paraId="72B2644C" w14:textId="53ADB1F1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 xml:space="preserve">ontrolery – podświetlany włącznik/wyłącznik 230 VAC, dioda zasilania, dioda pracy (ozonowania), bezpiecznik, </w:t>
            </w:r>
            <w:proofErr w:type="spellStart"/>
            <w:r w:rsidRPr="0049561A">
              <w:rPr>
                <w:rFonts w:cstheme="minorHAnsi"/>
              </w:rPr>
              <w:t>timer</w:t>
            </w:r>
            <w:proofErr w:type="spellEnd"/>
            <w:r>
              <w:rPr>
                <w:rFonts w:cstheme="minorHAnsi"/>
              </w:rPr>
              <w:t>,</w:t>
            </w:r>
          </w:p>
          <w:p w14:paraId="40BEB843" w14:textId="793A00CC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49561A">
              <w:rPr>
                <w:rFonts w:cstheme="minorHAnsi"/>
              </w:rPr>
              <w:t>az zasilający – otaczające powietrze</w:t>
            </w:r>
            <w:r>
              <w:rPr>
                <w:rFonts w:cstheme="minorHAnsi"/>
              </w:rPr>
              <w:t>,</w:t>
            </w:r>
          </w:p>
          <w:p w14:paraId="6FAFB788" w14:textId="754B2CDB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9561A">
              <w:rPr>
                <w:rFonts w:cstheme="minorHAnsi"/>
              </w:rPr>
              <w:t>etoda wytwarzania ozonu – ciche wyładowania koronowe, (lampy stalowo-szklane powlekane stopem platyny z irydem)</w:t>
            </w:r>
            <w:r>
              <w:rPr>
                <w:rFonts w:cstheme="minorHAnsi"/>
              </w:rPr>
              <w:t>,</w:t>
            </w:r>
          </w:p>
          <w:p w14:paraId="4320CA67" w14:textId="51F42931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9561A">
              <w:rPr>
                <w:rFonts w:cstheme="minorHAnsi"/>
              </w:rPr>
              <w:t>hłodzenie (rozprowadzanie ozonu) – wentylator metalowy, niekorodujący, na łożyskach</w:t>
            </w:r>
            <w:r>
              <w:rPr>
                <w:rFonts w:cstheme="minorHAnsi"/>
              </w:rPr>
              <w:t>,</w:t>
            </w:r>
          </w:p>
          <w:p w14:paraId="5C019DC5" w14:textId="5956867D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9561A">
              <w:rPr>
                <w:rFonts w:cstheme="minorHAnsi"/>
              </w:rPr>
              <w:t>zas pracy ciągłej – bez limitów</w:t>
            </w:r>
            <w:r>
              <w:rPr>
                <w:rFonts w:cstheme="minorHAnsi"/>
              </w:rPr>
              <w:t>,</w:t>
            </w:r>
          </w:p>
          <w:p w14:paraId="450E6BED" w14:textId="044239C8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9561A">
              <w:rPr>
                <w:rFonts w:cstheme="minorHAnsi"/>
              </w:rPr>
              <w:t>pecjalistyczna, odporna na ozon, przetestowana rura do transportu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 xml:space="preserve">ozonu </w:t>
            </w:r>
            <w:r w:rsidRPr="0049561A">
              <w:rPr>
                <w:rFonts w:cstheme="minorHAnsi"/>
              </w:rPr>
              <w:lastRenderedPageBreak/>
              <w:t>(przydatna przy ozonowaniu kanałów wentylacyjnych) min. 3 m</w:t>
            </w:r>
            <w:r>
              <w:rPr>
                <w:rFonts w:cstheme="minorHAnsi"/>
              </w:rPr>
              <w:t>.</w:t>
            </w:r>
          </w:p>
          <w:p w14:paraId="0F504F40" w14:textId="3AD56ECB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9561A">
              <w:rPr>
                <w:rFonts w:cstheme="minorHAnsi"/>
              </w:rPr>
              <w:t>Wszystkie elementy komory muszą zmieścić się w istniejących otworach budynku celem wprowadzenia do pomieszczenia montażu.</w:t>
            </w:r>
            <w:r w:rsidRPr="00641D73"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136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E15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9F" w14:textId="3810EFCD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17D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4F4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6A322639" w14:textId="77777777" w:rsidTr="00C1121E">
        <w:trPr>
          <w:trHeight w:val="45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F76C" w14:textId="3D141B94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47464" w14:textId="44DC67D3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650430">
              <w:rPr>
                <w:rFonts w:cs="Calibri"/>
                <w:b/>
                <w:bCs/>
              </w:rPr>
              <w:t>Wózek-stół-przenośnik hydrauliczny</w:t>
            </w:r>
            <w:r>
              <w:rPr>
                <w:rFonts w:cs="Calibri"/>
                <w:b/>
                <w:bCs/>
              </w:rPr>
              <w:t xml:space="preserve">                                        </w:t>
            </w:r>
          </w:p>
        </w:tc>
      </w:tr>
      <w:tr w:rsidR="00185194" w:rsidRPr="0044618F" w14:paraId="38B16CEB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DF525" w14:textId="10699E26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3A7" w14:textId="3CE6BD4B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Wózek-podnośnik do załadunku-rozładunku komory chłodniczej i basenu formalinowego</w:t>
            </w:r>
            <w:r>
              <w:rPr>
                <w:rFonts w:cstheme="minorHAnsi"/>
              </w:rPr>
              <w:t>.</w:t>
            </w:r>
          </w:p>
          <w:p w14:paraId="0C688B1B" w14:textId="6BFBBC3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Wykonanie ze stali kwasoodpornej min. 1.4301 EN 10088</w:t>
            </w:r>
            <w:r>
              <w:rPr>
                <w:rFonts w:cstheme="minorHAnsi"/>
              </w:rPr>
              <w:t>.</w:t>
            </w:r>
          </w:p>
          <w:p w14:paraId="21AD51B1" w14:textId="541E7319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Płynna regulacja wysokości za pomocą układu hydrauliczno- elektrycznego</w:t>
            </w:r>
            <w:r>
              <w:rPr>
                <w:rFonts w:cstheme="minorHAnsi"/>
              </w:rPr>
              <w:t>.</w:t>
            </w:r>
          </w:p>
          <w:p w14:paraId="1123C6B3" w14:textId="728D41D8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Sterowanie podnoszeniem elektryczne za pomocą panelu sterującego lub pilota</w:t>
            </w:r>
            <w:r>
              <w:rPr>
                <w:rFonts w:cstheme="minorHAnsi"/>
              </w:rPr>
              <w:t>.</w:t>
            </w:r>
          </w:p>
          <w:p w14:paraId="248A7AE0" w14:textId="264A1520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Nośność minimum 200 kg</w:t>
            </w:r>
            <w:r>
              <w:rPr>
                <w:rFonts w:cstheme="minorHAnsi"/>
              </w:rPr>
              <w:t>.</w:t>
            </w:r>
          </w:p>
          <w:p w14:paraId="6F989F8A" w14:textId="643A4DBF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pantograf podnoszący</w:t>
            </w:r>
            <w:r>
              <w:rPr>
                <w:rFonts w:cstheme="minorHAnsi"/>
              </w:rPr>
              <w:t>.</w:t>
            </w:r>
          </w:p>
          <w:p w14:paraId="4D2D6BDD" w14:textId="7570701D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Podnoszenie za pomocą wydajnego zespołu pompy hydraulicznej zasilanej akumulatorowo</w:t>
            </w:r>
            <w:r>
              <w:rPr>
                <w:rFonts w:cstheme="minorHAnsi"/>
              </w:rPr>
              <w:t>.</w:t>
            </w:r>
          </w:p>
          <w:p w14:paraId="220CD321" w14:textId="5CDCDC17" w:rsidR="00185194" w:rsidRPr="00650430" w:rsidRDefault="00185194" w:rsidP="00F202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Akumulator starczający na wykonanie min. 60 cykli podnoszenia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bez ładowania</w:t>
            </w:r>
            <w:r>
              <w:rPr>
                <w:rFonts w:cstheme="minorHAnsi"/>
              </w:rPr>
              <w:t>.</w:t>
            </w:r>
          </w:p>
          <w:p w14:paraId="610C65CA" w14:textId="124CB5C3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Wraz z wózkiem załączony prostownik do ładowania</w:t>
            </w:r>
            <w:r>
              <w:rPr>
                <w:rFonts w:cstheme="minorHAnsi"/>
              </w:rPr>
              <w:t>.</w:t>
            </w:r>
          </w:p>
          <w:p w14:paraId="33A9D731" w14:textId="43BB9052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Przycisk awaryjnego zatrzymania podnoszenia tzw. „uderzenie pięści”</w:t>
            </w:r>
            <w:r>
              <w:rPr>
                <w:rFonts w:cstheme="minorHAnsi"/>
              </w:rPr>
              <w:t>.</w:t>
            </w:r>
          </w:p>
          <w:p w14:paraId="15B1405B" w14:textId="58CA11B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Zakres podnoszenia minimum 185</w:t>
            </w:r>
            <w:r>
              <w:rPr>
                <w:rFonts w:cstheme="minorHAnsi"/>
              </w:rPr>
              <w:t>0</w:t>
            </w:r>
            <w:r w:rsidRPr="006504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50430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  <w:p w14:paraId="4BFE9676" w14:textId="3D685E1D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cztery obrotowe kółka z blokadą ruchu</w:t>
            </w:r>
            <w:r>
              <w:rPr>
                <w:rFonts w:cstheme="minorHAnsi"/>
              </w:rPr>
              <w:t>,</w:t>
            </w:r>
            <w:r w:rsidRPr="00650430">
              <w:rPr>
                <w:rFonts w:cstheme="minorHAnsi"/>
              </w:rPr>
              <w:t xml:space="preserve"> w oprawie ze stali nierdzewnej – kwasoodpornej</w:t>
            </w:r>
            <w:r>
              <w:rPr>
                <w:rFonts w:cstheme="minorHAnsi"/>
              </w:rPr>
              <w:t>.</w:t>
            </w:r>
          </w:p>
          <w:p w14:paraId="00DEF793" w14:textId="45C63B8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Konstrukcja dostosowana do przewożenia zwłok na tacach takich jak w komorach chłodniczych i basenach na zwłoki – pełna kompatybilność</w:t>
            </w:r>
            <w:r>
              <w:rPr>
                <w:rFonts w:cstheme="minorHAnsi"/>
              </w:rPr>
              <w:t>.</w:t>
            </w:r>
          </w:p>
          <w:p w14:paraId="04CC798E" w14:textId="778DD557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lastRenderedPageBreak/>
              <w:t>Blokada tac na zwłoki zapobiegająca zsunięciu się tacy z wózka</w:t>
            </w:r>
            <w:r>
              <w:rPr>
                <w:rFonts w:cstheme="minorHAnsi"/>
              </w:rPr>
              <w:t>.</w:t>
            </w:r>
          </w:p>
          <w:p w14:paraId="335FE413" w14:textId="384DA47C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Wymiary zewnętrzne: długość max.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220</w:t>
            </w:r>
            <w:r>
              <w:rPr>
                <w:rFonts w:cstheme="minorHAnsi"/>
              </w:rPr>
              <w:t>0</w:t>
            </w:r>
            <w:r w:rsidRPr="006504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50430">
              <w:rPr>
                <w:rFonts w:cstheme="minorHAnsi"/>
              </w:rPr>
              <w:t>m x szerokość max</w:t>
            </w:r>
            <w:r>
              <w:rPr>
                <w:rFonts w:cstheme="minorHAnsi"/>
              </w:rPr>
              <w:t>.</w:t>
            </w:r>
            <w:r w:rsidRPr="00650430">
              <w:rPr>
                <w:rFonts w:cstheme="minorHAnsi"/>
              </w:rPr>
              <w:t xml:space="preserve"> 80</w:t>
            </w:r>
            <w:r>
              <w:rPr>
                <w:rFonts w:cstheme="minorHAnsi"/>
              </w:rPr>
              <w:t>0 m</w:t>
            </w:r>
            <w:r w:rsidRPr="00650430">
              <w:rPr>
                <w:rFonts w:cstheme="minorHAnsi"/>
              </w:rPr>
              <w:t xml:space="preserve">m (tolerancja 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5</w:t>
            </w:r>
            <w:r>
              <w:rPr>
                <w:rFonts w:cstheme="minorHAnsi"/>
              </w:rPr>
              <w:t>0 m</w:t>
            </w:r>
            <w:r w:rsidRPr="00650430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  <w:p w14:paraId="00BD87AD" w14:textId="2570D1CA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komplet minimum 2 uchwytów manewrowych</w:t>
            </w:r>
            <w:r>
              <w:rPr>
                <w:rFonts w:cstheme="minorHAnsi"/>
              </w:rPr>
              <w:t>.</w:t>
            </w:r>
          </w:p>
          <w:p w14:paraId="020AB914" w14:textId="6A28BF62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kółka obojowe umieszczone skrajnie w narożnikach zapobiegające uszkodzeniom ścian itp.</w:t>
            </w:r>
          </w:p>
          <w:p w14:paraId="706AD917" w14:textId="150DBB0C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Górna rama wózka wyposażona w pełne prowadnice rolkowe w pełni kompatybilne z prowadnicami stosowanymi w komorze.</w:t>
            </w:r>
          </w:p>
          <w:p w14:paraId="4E174A7A" w14:textId="486905F0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 xml:space="preserve">Dla sprawnego załadunku i wyładunku preparatów z komory oraz basenu formalinowego wózek wyposażony </w:t>
            </w:r>
            <w:r>
              <w:rPr>
                <w:rFonts w:cstheme="minorHAnsi"/>
              </w:rPr>
              <w:t>powinien być</w:t>
            </w:r>
            <w:r w:rsidRPr="00650430">
              <w:rPr>
                <w:rFonts w:cstheme="minorHAnsi"/>
              </w:rPr>
              <w:t xml:space="preserve"> w system cumowania i osiowania górnej, podnoszonej ramy z regałami wewnątrz komory i basenu.</w:t>
            </w:r>
          </w:p>
          <w:p w14:paraId="6694D54D" w14:textId="4AAB4EF8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50430">
              <w:rPr>
                <w:rFonts w:cstheme="minorHAnsi"/>
              </w:rPr>
              <w:t>Wszystkie elementy urządzenia muszą zmieścić się w istniejących otworach budynku celem wprowadzenia do przeznaczonego pomieszczenia.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42B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8A0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76B8" w14:textId="37D8974E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FD9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D2D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31B9BF2" w14:textId="77777777" w:rsidTr="00984CC0">
        <w:trPr>
          <w:trHeight w:val="504"/>
          <w:jc w:val="center"/>
        </w:trPr>
        <w:tc>
          <w:tcPr>
            <w:tcW w:w="14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C9E" w14:textId="01877B13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EAC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5924DDE" w14:textId="76091F7F" w:rsidR="00650430" w:rsidRDefault="00650430" w:rsidP="000677AB">
      <w:pPr>
        <w:spacing w:after="0" w:line="240" w:lineRule="auto"/>
        <w:rPr>
          <w:rFonts w:cs="Calibri"/>
        </w:rPr>
      </w:pPr>
    </w:p>
    <w:p w14:paraId="3FE4B6DE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14B8EC33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154A1BF3" w14:textId="06AC9D1E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_____________________________________________</w:t>
      </w:r>
    </w:p>
    <w:p w14:paraId="44484B40" w14:textId="271437A1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</w:t>
      </w:r>
      <w:r w:rsidRPr="00F86EE5">
        <w:rPr>
          <w:rFonts w:cs="Calibri"/>
        </w:rPr>
        <w:t xml:space="preserve">     (Kwalifikowany podpis elektroniczny Wykonawcy)</w:t>
      </w:r>
    </w:p>
    <w:p w14:paraId="247B9F9B" w14:textId="77777777" w:rsidR="00F86EE5" w:rsidRDefault="00F86EE5" w:rsidP="000677AB">
      <w:pPr>
        <w:spacing w:after="0" w:line="240" w:lineRule="auto"/>
        <w:rPr>
          <w:rFonts w:cs="Calibri"/>
        </w:rPr>
      </w:pPr>
    </w:p>
    <w:sectPr w:rsidR="00F86EE5" w:rsidSect="006279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4398" w14:textId="77777777" w:rsidR="00540CC5" w:rsidRDefault="00540CC5" w:rsidP="004C41F9">
      <w:pPr>
        <w:spacing w:after="0" w:line="240" w:lineRule="auto"/>
      </w:pPr>
      <w:r>
        <w:separator/>
      </w:r>
    </w:p>
  </w:endnote>
  <w:endnote w:type="continuationSeparator" w:id="0">
    <w:p w14:paraId="167B1129" w14:textId="77777777" w:rsidR="00540CC5" w:rsidRDefault="00540CC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15E8451E" w14:textId="5B4826CD" w:rsidR="00F86EE5" w:rsidRDefault="00F86EE5" w:rsidP="00F86EE5">
        <w:pPr>
          <w:pStyle w:val="Stopka"/>
        </w:pPr>
      </w:p>
      <w:p w14:paraId="6218FAD6" w14:textId="4CF07ECD" w:rsidR="00F86EE5" w:rsidRPr="00F86EE5" w:rsidRDefault="00F86EE5" w:rsidP="00F86EE5">
        <w:pPr>
          <w:pStyle w:val="Tekstpodstawowy"/>
          <w:jc w:val="both"/>
          <w:rPr>
            <w:rFonts w:asciiTheme="minorHAnsi" w:hAnsiTheme="minorHAnsi" w:cs="Arial"/>
          </w:rPr>
        </w:pPr>
        <w:r w:rsidRPr="00F86EE5">
          <w:rPr>
            <w:rFonts w:asciiTheme="minorHAnsi" w:hAnsiTheme="minorHAnsi" w:cs="Arial"/>
            <w:iCs/>
          </w:rPr>
          <w:t xml:space="preserve">*Zamawiający wymaga wypełnienia kolumny przez wpisanie konkretnych, oferowanych parametrów w kolumnie „Parametry oferowane” oraz wpisania  producenta i modelu  oferowanego </w:t>
        </w:r>
        <w:r>
          <w:rPr>
            <w:rFonts w:asciiTheme="minorHAnsi" w:hAnsiTheme="minorHAnsi" w:cs="Arial"/>
            <w:iCs/>
          </w:rPr>
          <w:t>produktu</w:t>
        </w:r>
        <w:r w:rsidRPr="00F86EE5">
          <w:rPr>
            <w:rFonts w:asciiTheme="minorHAnsi" w:hAnsiTheme="minorHAnsi" w:cs="Arial"/>
            <w:iCs/>
          </w:rPr>
          <w:t xml:space="preserve">. </w:t>
        </w:r>
        <w:r w:rsidRPr="00F86EE5">
          <w:rPr>
            <w:rFonts w:asciiTheme="minorHAnsi" w:hAnsiTheme="minorHAnsi" w:cs="Arial"/>
          </w:rPr>
          <w:t>Brak w ofercie  jednoznacznego wskazania wyszczególnionych powyżej parametrów spowoduje odrzucenie oferty.</w:t>
        </w:r>
      </w:p>
      <w:p w14:paraId="7C430EAD" w14:textId="77777777" w:rsidR="00F86EE5" w:rsidRPr="00F86EE5" w:rsidRDefault="00F86EE5" w:rsidP="00F86EE5">
        <w:pPr>
          <w:pStyle w:val="Tekstpodstawowy"/>
          <w:jc w:val="both"/>
          <w:rPr>
            <w:rFonts w:ascii="Times New Roman" w:hAnsi="Times New Roman"/>
            <w:i/>
          </w:rPr>
        </w:pPr>
      </w:p>
      <w:p w14:paraId="1FB728F1" w14:textId="5006ADF1" w:rsidR="00F86EE5" w:rsidRDefault="00F86EE5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D6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EBD8" w14:textId="77777777" w:rsidR="00540CC5" w:rsidRDefault="00540CC5" w:rsidP="004C41F9">
      <w:pPr>
        <w:spacing w:after="0" w:line="240" w:lineRule="auto"/>
      </w:pPr>
      <w:r>
        <w:separator/>
      </w:r>
    </w:p>
  </w:footnote>
  <w:footnote w:type="continuationSeparator" w:id="0">
    <w:p w14:paraId="7480D94C" w14:textId="77777777" w:rsidR="00540CC5" w:rsidRDefault="00540CC5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7024"/>
    <w:rsid w:val="00031B1A"/>
    <w:rsid w:val="00033C56"/>
    <w:rsid w:val="000378AF"/>
    <w:rsid w:val="00050C61"/>
    <w:rsid w:val="00051837"/>
    <w:rsid w:val="00055834"/>
    <w:rsid w:val="000564D6"/>
    <w:rsid w:val="000677AB"/>
    <w:rsid w:val="00072392"/>
    <w:rsid w:val="00090D0B"/>
    <w:rsid w:val="00092389"/>
    <w:rsid w:val="0009789C"/>
    <w:rsid w:val="000A22C3"/>
    <w:rsid w:val="000B0D32"/>
    <w:rsid w:val="000B58D4"/>
    <w:rsid w:val="000C05D6"/>
    <w:rsid w:val="000C5477"/>
    <w:rsid w:val="000E0CB5"/>
    <w:rsid w:val="000E16A0"/>
    <w:rsid w:val="000E27C2"/>
    <w:rsid w:val="000E4934"/>
    <w:rsid w:val="000E4B18"/>
    <w:rsid w:val="000E5F69"/>
    <w:rsid w:val="001028D5"/>
    <w:rsid w:val="00103CD6"/>
    <w:rsid w:val="00104129"/>
    <w:rsid w:val="00104FF5"/>
    <w:rsid w:val="00105D1E"/>
    <w:rsid w:val="0011655B"/>
    <w:rsid w:val="00120F7D"/>
    <w:rsid w:val="001215A2"/>
    <w:rsid w:val="00122FEC"/>
    <w:rsid w:val="00126140"/>
    <w:rsid w:val="00127B86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85194"/>
    <w:rsid w:val="0019627E"/>
    <w:rsid w:val="00196B99"/>
    <w:rsid w:val="001A247E"/>
    <w:rsid w:val="001A2824"/>
    <w:rsid w:val="001A3FBD"/>
    <w:rsid w:val="001A63FE"/>
    <w:rsid w:val="001A7FD3"/>
    <w:rsid w:val="001C0304"/>
    <w:rsid w:val="001C1F6B"/>
    <w:rsid w:val="001C2501"/>
    <w:rsid w:val="001C4348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2B56"/>
    <w:rsid w:val="00276059"/>
    <w:rsid w:val="002762A9"/>
    <w:rsid w:val="00283A24"/>
    <w:rsid w:val="002949AF"/>
    <w:rsid w:val="00297F6D"/>
    <w:rsid w:val="002B025E"/>
    <w:rsid w:val="002B0EB8"/>
    <w:rsid w:val="002B3396"/>
    <w:rsid w:val="002C379F"/>
    <w:rsid w:val="002C7EE1"/>
    <w:rsid w:val="002D09D1"/>
    <w:rsid w:val="002D3EFE"/>
    <w:rsid w:val="002D427D"/>
    <w:rsid w:val="002D5377"/>
    <w:rsid w:val="002D729D"/>
    <w:rsid w:val="002F00EF"/>
    <w:rsid w:val="002F2ECE"/>
    <w:rsid w:val="00301889"/>
    <w:rsid w:val="0030420E"/>
    <w:rsid w:val="00306C1B"/>
    <w:rsid w:val="00313AE1"/>
    <w:rsid w:val="00313C17"/>
    <w:rsid w:val="00313E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7F46"/>
    <w:rsid w:val="00417C1F"/>
    <w:rsid w:val="00426AD0"/>
    <w:rsid w:val="0042718B"/>
    <w:rsid w:val="0044186A"/>
    <w:rsid w:val="00441BC0"/>
    <w:rsid w:val="0044618F"/>
    <w:rsid w:val="00447AF2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561A"/>
    <w:rsid w:val="004A272E"/>
    <w:rsid w:val="004B06DE"/>
    <w:rsid w:val="004B131D"/>
    <w:rsid w:val="004B44AD"/>
    <w:rsid w:val="004B7A14"/>
    <w:rsid w:val="004C41F9"/>
    <w:rsid w:val="004C7BE3"/>
    <w:rsid w:val="004D05E9"/>
    <w:rsid w:val="004D1811"/>
    <w:rsid w:val="004D5BD6"/>
    <w:rsid w:val="004E0749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CC5"/>
    <w:rsid w:val="00543E75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94581"/>
    <w:rsid w:val="005950AA"/>
    <w:rsid w:val="00597414"/>
    <w:rsid w:val="005A143C"/>
    <w:rsid w:val="005B0E1C"/>
    <w:rsid w:val="005C31CE"/>
    <w:rsid w:val="005C3D84"/>
    <w:rsid w:val="005D2633"/>
    <w:rsid w:val="005D35B6"/>
    <w:rsid w:val="005D3C17"/>
    <w:rsid w:val="005E0080"/>
    <w:rsid w:val="005E0C04"/>
    <w:rsid w:val="005E2FD2"/>
    <w:rsid w:val="005E2FD9"/>
    <w:rsid w:val="005E3BE9"/>
    <w:rsid w:val="005E64ED"/>
    <w:rsid w:val="005E70A9"/>
    <w:rsid w:val="00601A1A"/>
    <w:rsid w:val="00604FFC"/>
    <w:rsid w:val="006158FD"/>
    <w:rsid w:val="00616CD4"/>
    <w:rsid w:val="006205D3"/>
    <w:rsid w:val="006228D3"/>
    <w:rsid w:val="006279DA"/>
    <w:rsid w:val="00631939"/>
    <w:rsid w:val="00636AC4"/>
    <w:rsid w:val="00640861"/>
    <w:rsid w:val="00650430"/>
    <w:rsid w:val="006532D2"/>
    <w:rsid w:val="00654DBB"/>
    <w:rsid w:val="0065552A"/>
    <w:rsid w:val="006558DB"/>
    <w:rsid w:val="006735B9"/>
    <w:rsid w:val="0068321D"/>
    <w:rsid w:val="00687744"/>
    <w:rsid w:val="00690EA6"/>
    <w:rsid w:val="00695040"/>
    <w:rsid w:val="0069537D"/>
    <w:rsid w:val="00697EDA"/>
    <w:rsid w:val="006A5E05"/>
    <w:rsid w:val="006B3494"/>
    <w:rsid w:val="006F36DC"/>
    <w:rsid w:val="006F5551"/>
    <w:rsid w:val="006F638B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15C2"/>
    <w:rsid w:val="0078342C"/>
    <w:rsid w:val="007863EF"/>
    <w:rsid w:val="00787841"/>
    <w:rsid w:val="00790DDA"/>
    <w:rsid w:val="00791F63"/>
    <w:rsid w:val="007A31DE"/>
    <w:rsid w:val="007A35D4"/>
    <w:rsid w:val="007B11DF"/>
    <w:rsid w:val="007B1EBD"/>
    <w:rsid w:val="007C0D39"/>
    <w:rsid w:val="007C36EE"/>
    <w:rsid w:val="007C414D"/>
    <w:rsid w:val="007C47AA"/>
    <w:rsid w:val="007D1630"/>
    <w:rsid w:val="007D33A9"/>
    <w:rsid w:val="007E4ACB"/>
    <w:rsid w:val="007E6082"/>
    <w:rsid w:val="007F186D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6AD1"/>
    <w:rsid w:val="00907381"/>
    <w:rsid w:val="0091046D"/>
    <w:rsid w:val="0092206D"/>
    <w:rsid w:val="009300B7"/>
    <w:rsid w:val="00931667"/>
    <w:rsid w:val="0093187E"/>
    <w:rsid w:val="00941ED9"/>
    <w:rsid w:val="00944FF0"/>
    <w:rsid w:val="00950A89"/>
    <w:rsid w:val="00950DEF"/>
    <w:rsid w:val="00966C8F"/>
    <w:rsid w:val="00967315"/>
    <w:rsid w:val="00972412"/>
    <w:rsid w:val="00984922"/>
    <w:rsid w:val="00986912"/>
    <w:rsid w:val="00986C09"/>
    <w:rsid w:val="009874F7"/>
    <w:rsid w:val="00987F26"/>
    <w:rsid w:val="0099327E"/>
    <w:rsid w:val="00993B47"/>
    <w:rsid w:val="00996195"/>
    <w:rsid w:val="00996B57"/>
    <w:rsid w:val="009A3F27"/>
    <w:rsid w:val="009A79EE"/>
    <w:rsid w:val="009B27BD"/>
    <w:rsid w:val="009B53A9"/>
    <w:rsid w:val="009B7080"/>
    <w:rsid w:val="009D3EEA"/>
    <w:rsid w:val="009E2B93"/>
    <w:rsid w:val="009F2CD0"/>
    <w:rsid w:val="00A02896"/>
    <w:rsid w:val="00A02BDA"/>
    <w:rsid w:val="00A031EB"/>
    <w:rsid w:val="00A12169"/>
    <w:rsid w:val="00A14EB0"/>
    <w:rsid w:val="00A15BF2"/>
    <w:rsid w:val="00A163FD"/>
    <w:rsid w:val="00A17BD6"/>
    <w:rsid w:val="00A31FCE"/>
    <w:rsid w:val="00A35A77"/>
    <w:rsid w:val="00A40EA1"/>
    <w:rsid w:val="00A446A5"/>
    <w:rsid w:val="00A51188"/>
    <w:rsid w:val="00A573F6"/>
    <w:rsid w:val="00A67C0D"/>
    <w:rsid w:val="00A71624"/>
    <w:rsid w:val="00A75BA2"/>
    <w:rsid w:val="00A82469"/>
    <w:rsid w:val="00A84DB3"/>
    <w:rsid w:val="00A86AEF"/>
    <w:rsid w:val="00A872FC"/>
    <w:rsid w:val="00A9678B"/>
    <w:rsid w:val="00AA4FFA"/>
    <w:rsid w:val="00AA6B01"/>
    <w:rsid w:val="00AA7C29"/>
    <w:rsid w:val="00AB5F76"/>
    <w:rsid w:val="00AC206E"/>
    <w:rsid w:val="00AD2D9C"/>
    <w:rsid w:val="00AE0498"/>
    <w:rsid w:val="00AE154B"/>
    <w:rsid w:val="00AE67C3"/>
    <w:rsid w:val="00AE6B41"/>
    <w:rsid w:val="00AF0543"/>
    <w:rsid w:val="00AF0706"/>
    <w:rsid w:val="00AF0B9E"/>
    <w:rsid w:val="00B017DD"/>
    <w:rsid w:val="00B0535F"/>
    <w:rsid w:val="00B07D66"/>
    <w:rsid w:val="00B175A6"/>
    <w:rsid w:val="00B2339F"/>
    <w:rsid w:val="00B31644"/>
    <w:rsid w:val="00B40F56"/>
    <w:rsid w:val="00B5216D"/>
    <w:rsid w:val="00B77033"/>
    <w:rsid w:val="00B86282"/>
    <w:rsid w:val="00B953E5"/>
    <w:rsid w:val="00B95D76"/>
    <w:rsid w:val="00BA0433"/>
    <w:rsid w:val="00BA14A8"/>
    <w:rsid w:val="00BA2788"/>
    <w:rsid w:val="00BA373A"/>
    <w:rsid w:val="00BA7D78"/>
    <w:rsid w:val="00BB0A6E"/>
    <w:rsid w:val="00BB14D8"/>
    <w:rsid w:val="00BB2B02"/>
    <w:rsid w:val="00BB2CDF"/>
    <w:rsid w:val="00BC211E"/>
    <w:rsid w:val="00BC57CF"/>
    <w:rsid w:val="00BD41E3"/>
    <w:rsid w:val="00BD5D2D"/>
    <w:rsid w:val="00BD5DBC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40AE"/>
    <w:rsid w:val="00C57531"/>
    <w:rsid w:val="00C61C03"/>
    <w:rsid w:val="00C62074"/>
    <w:rsid w:val="00C62198"/>
    <w:rsid w:val="00C62E5F"/>
    <w:rsid w:val="00C72299"/>
    <w:rsid w:val="00C77644"/>
    <w:rsid w:val="00C8291F"/>
    <w:rsid w:val="00C912D6"/>
    <w:rsid w:val="00C95341"/>
    <w:rsid w:val="00CA5788"/>
    <w:rsid w:val="00CB0372"/>
    <w:rsid w:val="00CB670B"/>
    <w:rsid w:val="00CC4B1C"/>
    <w:rsid w:val="00CC7D76"/>
    <w:rsid w:val="00CE2C3B"/>
    <w:rsid w:val="00CE6A94"/>
    <w:rsid w:val="00CE7B5E"/>
    <w:rsid w:val="00CF729B"/>
    <w:rsid w:val="00D15FAB"/>
    <w:rsid w:val="00D2262B"/>
    <w:rsid w:val="00D22B25"/>
    <w:rsid w:val="00D26105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82136"/>
    <w:rsid w:val="00D83BF4"/>
    <w:rsid w:val="00D87B53"/>
    <w:rsid w:val="00D94FAE"/>
    <w:rsid w:val="00D96FC6"/>
    <w:rsid w:val="00DB0382"/>
    <w:rsid w:val="00DB3339"/>
    <w:rsid w:val="00DB4202"/>
    <w:rsid w:val="00DC406D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37F1"/>
    <w:rsid w:val="00E2484E"/>
    <w:rsid w:val="00E34DFE"/>
    <w:rsid w:val="00E36438"/>
    <w:rsid w:val="00E54BE6"/>
    <w:rsid w:val="00E54C93"/>
    <w:rsid w:val="00E60167"/>
    <w:rsid w:val="00E62BBB"/>
    <w:rsid w:val="00E63817"/>
    <w:rsid w:val="00E70903"/>
    <w:rsid w:val="00E70BF6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4179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622"/>
    <w:rsid w:val="00F20708"/>
    <w:rsid w:val="00F2280A"/>
    <w:rsid w:val="00F413F5"/>
    <w:rsid w:val="00F418BD"/>
    <w:rsid w:val="00F41EAB"/>
    <w:rsid w:val="00F45B6E"/>
    <w:rsid w:val="00F46A88"/>
    <w:rsid w:val="00F5229D"/>
    <w:rsid w:val="00F57417"/>
    <w:rsid w:val="00F5742C"/>
    <w:rsid w:val="00F63782"/>
    <w:rsid w:val="00F64CBC"/>
    <w:rsid w:val="00F67A84"/>
    <w:rsid w:val="00F67F05"/>
    <w:rsid w:val="00F71892"/>
    <w:rsid w:val="00F751C3"/>
    <w:rsid w:val="00F76E14"/>
    <w:rsid w:val="00F76E1F"/>
    <w:rsid w:val="00F8140C"/>
    <w:rsid w:val="00F82407"/>
    <w:rsid w:val="00F86EE5"/>
    <w:rsid w:val="00F94D4F"/>
    <w:rsid w:val="00F954B0"/>
    <w:rsid w:val="00FB2AAE"/>
    <w:rsid w:val="00FB3EA4"/>
    <w:rsid w:val="00FB513B"/>
    <w:rsid w:val="00FB6017"/>
    <w:rsid w:val="00FB7201"/>
    <w:rsid w:val="00FC1BF1"/>
    <w:rsid w:val="00FC254B"/>
    <w:rsid w:val="00FC3156"/>
    <w:rsid w:val="00FD3E04"/>
    <w:rsid w:val="00FD4EB4"/>
    <w:rsid w:val="00FE2CC1"/>
    <w:rsid w:val="00FF05F9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CACC5E7C-43E4-4624-A8AD-B8548B19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86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E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7143A-E4CF-47D7-92CF-77B2BDE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Sądej</cp:lastModifiedBy>
  <cp:revision>3</cp:revision>
  <cp:lastPrinted>2022-01-11T09:26:00Z</cp:lastPrinted>
  <dcterms:created xsi:type="dcterms:W3CDTF">2022-01-11T07:22:00Z</dcterms:created>
  <dcterms:modified xsi:type="dcterms:W3CDTF">2022-01-11T09:26:00Z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