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119A0FC9" w:rsidR="000D6DDB" w:rsidRPr="00D50B9F" w:rsidRDefault="000D6DDB" w:rsidP="00725275">
      <w:pPr>
        <w:tabs>
          <w:tab w:val="left" w:pos="284"/>
        </w:tabs>
        <w:ind w:right="-170"/>
        <w:rPr>
          <w:b/>
          <w:color w:val="FF0000"/>
          <w:sz w:val="22"/>
          <w:szCs w:val="22"/>
        </w:rPr>
      </w:pPr>
    </w:p>
    <w:p w14:paraId="3FC7E80F" w14:textId="11AFC26C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  <w:r w:rsidR="00725275">
        <w:rPr>
          <w:b/>
          <w:color w:val="000000" w:themeColor="text1"/>
          <w:sz w:val="22"/>
          <w:szCs w:val="22"/>
        </w:rPr>
        <w:t>95/2022</w:t>
      </w:r>
    </w:p>
    <w:p w14:paraId="731E70DF" w14:textId="24AD1E49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.......</w:t>
      </w:r>
      <w:r w:rsidRPr="00D50B9F">
        <w:rPr>
          <w:color w:val="000000" w:themeColor="text1"/>
          <w:sz w:val="22"/>
          <w:szCs w:val="22"/>
        </w:rPr>
        <w:t>…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725275">
        <w:rPr>
          <w:b/>
          <w:bCs/>
          <w:color w:val="000000" w:themeColor="text1"/>
          <w:sz w:val="22"/>
          <w:szCs w:val="22"/>
        </w:rPr>
        <w:t>2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7AB125BC" w14:textId="234F552C" w:rsidR="009E5B75" w:rsidRPr="00D50B9F" w:rsidRDefault="000D6DDB" w:rsidP="00D50B9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Zgodnie z wynikiem postępowania o udzielenie zamówienia publicznego </w:t>
      </w:r>
      <w:r w:rsidR="0098141C">
        <w:rPr>
          <w:color w:val="000000" w:themeColor="text1"/>
          <w:sz w:val="22"/>
          <w:szCs w:val="22"/>
        </w:rPr>
        <w:t xml:space="preserve">o wartości poniżej 130000 z, </w:t>
      </w:r>
      <w:r w:rsidR="00E86D72" w:rsidRPr="00D50B9F">
        <w:rPr>
          <w:bCs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nr sprawy</w:t>
      </w:r>
      <w:r w:rsidR="00F019A3" w:rsidRPr="00D50B9F">
        <w:rPr>
          <w:b/>
          <w:color w:val="000000" w:themeColor="text1"/>
          <w:sz w:val="22"/>
          <w:szCs w:val="22"/>
        </w:rPr>
        <w:t xml:space="preserve"> </w:t>
      </w:r>
      <w:r w:rsidR="00D50B9F" w:rsidRPr="00D50B9F">
        <w:rPr>
          <w:b/>
          <w:color w:val="000000" w:themeColor="text1"/>
          <w:sz w:val="22"/>
          <w:szCs w:val="22"/>
        </w:rPr>
        <w:t>……</w:t>
      </w:r>
      <w:r w:rsidRPr="00D50B9F">
        <w:rPr>
          <w:b/>
          <w:color w:val="000000" w:themeColor="text1"/>
          <w:sz w:val="22"/>
          <w:szCs w:val="22"/>
        </w:rPr>
        <w:t xml:space="preserve">, </w:t>
      </w:r>
      <w:r w:rsidRPr="00D50B9F">
        <w:rPr>
          <w:b/>
          <w:bCs/>
          <w:color w:val="000000" w:themeColor="text1"/>
          <w:sz w:val="22"/>
          <w:szCs w:val="22"/>
        </w:rPr>
        <w:t xml:space="preserve">Zamawiający powierza a Wykonawca zobowiązuje się do </w:t>
      </w:r>
      <w:r w:rsidR="00D50B9F" w:rsidRPr="00D50B9F">
        <w:rPr>
          <w:b/>
          <w:bCs/>
          <w:color w:val="000000" w:themeColor="text1"/>
          <w:sz w:val="22"/>
          <w:szCs w:val="22"/>
        </w:rPr>
        <w:t>………………………</w:t>
      </w:r>
    </w:p>
    <w:p w14:paraId="79018CB6" w14:textId="58870F14" w:rsidR="009E5B75" w:rsidRPr="00D50B9F" w:rsidRDefault="009E5B75" w:rsidP="00F873FF">
      <w:pPr>
        <w:pStyle w:val="Standard"/>
        <w:spacing w:line="276" w:lineRule="auto"/>
        <w:ind w:left="360" w:right="107"/>
        <w:jc w:val="both"/>
        <w:rPr>
          <w:b/>
          <w:bCs/>
          <w:sz w:val="22"/>
          <w:szCs w:val="22"/>
        </w:rPr>
      </w:pPr>
      <w:r w:rsidRPr="00D50B9F">
        <w:rPr>
          <w:b/>
          <w:bCs/>
          <w:sz w:val="22"/>
          <w:szCs w:val="22"/>
        </w:rPr>
        <w:t>-</w:t>
      </w:r>
      <w:r w:rsidR="00DA275E" w:rsidRPr="00D50B9F">
        <w:rPr>
          <w:b/>
          <w:bCs/>
          <w:sz w:val="22"/>
          <w:szCs w:val="22"/>
        </w:rPr>
        <w:t xml:space="preserve"> </w:t>
      </w:r>
      <w:r w:rsidRPr="00D50B9F">
        <w:rPr>
          <w:b/>
          <w:bCs/>
          <w:sz w:val="22"/>
          <w:szCs w:val="22"/>
        </w:rPr>
        <w:t xml:space="preserve">w „systemie zaprojektuj i </w:t>
      </w:r>
      <w:r w:rsidR="00D50B9F" w:rsidRPr="00D50B9F">
        <w:rPr>
          <w:b/>
          <w:bCs/>
          <w:sz w:val="22"/>
          <w:szCs w:val="22"/>
        </w:rPr>
        <w:t>wykonaj robotę budowlaną</w:t>
      </w:r>
      <w:r w:rsidRPr="00D50B9F">
        <w:rPr>
          <w:b/>
          <w:bCs/>
          <w:sz w:val="22"/>
          <w:szCs w:val="22"/>
        </w:rPr>
        <w:t>”.</w:t>
      </w:r>
    </w:p>
    <w:p w14:paraId="4900DD20" w14:textId="3EAD7B1B" w:rsidR="000D6DDB" w:rsidRPr="00D50B9F" w:rsidRDefault="000D6DDB" w:rsidP="00F873F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3187BBDC" w14:textId="6ACF09BE" w:rsidR="00FB6C36" w:rsidRPr="009B54D2" w:rsidRDefault="00D850B4" w:rsidP="00217884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D50B9F">
        <w:rPr>
          <w:bCs/>
          <w:color w:val="000000" w:themeColor="text1"/>
          <w:sz w:val="22"/>
          <w:szCs w:val="22"/>
        </w:rPr>
        <w:t>prac</w:t>
      </w:r>
      <w:r w:rsidRPr="00D50B9F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446AEE" w:rsidRPr="009B54D2">
        <w:rPr>
          <w:bCs/>
          <w:color w:val="000000" w:themeColor="text1"/>
          <w:sz w:val="22"/>
          <w:szCs w:val="22"/>
        </w:rPr>
        <w:t xml:space="preserve">terminie </w:t>
      </w:r>
      <w:r w:rsidR="009E5B75" w:rsidRPr="009B54D2">
        <w:rPr>
          <w:bCs/>
          <w:color w:val="000000" w:themeColor="text1"/>
          <w:sz w:val="22"/>
          <w:szCs w:val="22"/>
        </w:rPr>
        <w:t>1</w:t>
      </w:r>
      <w:r w:rsidR="00217884" w:rsidRPr="009B54D2">
        <w:rPr>
          <w:bCs/>
          <w:color w:val="000000" w:themeColor="text1"/>
          <w:sz w:val="22"/>
          <w:szCs w:val="22"/>
        </w:rPr>
        <w:t>3</w:t>
      </w:r>
      <w:r w:rsidR="009E5B75" w:rsidRPr="009B54D2">
        <w:rPr>
          <w:bCs/>
          <w:color w:val="000000" w:themeColor="text1"/>
          <w:sz w:val="22"/>
          <w:szCs w:val="22"/>
        </w:rPr>
        <w:t>0</w:t>
      </w:r>
      <w:r w:rsidR="00446AEE" w:rsidRPr="009B54D2">
        <w:rPr>
          <w:bCs/>
          <w:color w:val="000000" w:themeColor="text1"/>
          <w:sz w:val="22"/>
          <w:szCs w:val="22"/>
        </w:rPr>
        <w:t xml:space="preserve"> dni od dnia zawarcia umowy.</w:t>
      </w:r>
      <w:r w:rsidR="00FB6C36" w:rsidRPr="009B54D2">
        <w:rPr>
          <w:bCs/>
          <w:color w:val="000000" w:themeColor="text1"/>
          <w:sz w:val="22"/>
          <w:szCs w:val="22"/>
        </w:rPr>
        <w:t xml:space="preserve"> </w:t>
      </w:r>
    </w:p>
    <w:p w14:paraId="5F847F5A" w14:textId="77777777" w:rsidR="000D6DDB" w:rsidRPr="00D50B9F" w:rsidRDefault="000D6DDB" w:rsidP="00DB0ACD">
      <w:pPr>
        <w:ind w:left="993"/>
        <w:jc w:val="both"/>
        <w:rPr>
          <w:color w:val="000000" w:themeColor="text1"/>
          <w:sz w:val="22"/>
          <w:szCs w:val="22"/>
        </w:rPr>
      </w:pP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5E3D4202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0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0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 xml:space="preserve">wykonanie roboty budowlanej 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1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0BD6257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440622D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</w:t>
      </w:r>
      <w:r w:rsidR="00F873FF" w:rsidRPr="00D50B9F">
        <w:rPr>
          <w:sz w:val="22"/>
          <w:szCs w:val="22"/>
          <w:lang w:eastAsia="ar-SA"/>
        </w:rPr>
        <w:t xml:space="preserve"> 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44B477FA" w14:textId="2649B801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ze zm.).</w:t>
      </w:r>
    </w:p>
    <w:p w14:paraId="5A6B824B" w14:textId="4D0027E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formach i ilościach</w:t>
      </w:r>
      <w:r w:rsidR="00725275">
        <w:rPr>
          <w:color w:val="000000" w:themeColor="text1"/>
          <w:sz w:val="22"/>
          <w:szCs w:val="22"/>
        </w:rPr>
        <w:t xml:space="preserve"> określonych w PFU.</w:t>
      </w:r>
    </w:p>
    <w:p w14:paraId="450992E9" w14:textId="4DEB4B31" w:rsidR="008F0BB1" w:rsidRPr="00D50B9F" w:rsidRDefault="0064640C" w:rsidP="00725275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</w:t>
      </w:r>
      <w:r w:rsidR="00DA275E" w:rsidRPr="00D50B9F">
        <w:rPr>
          <w:color w:val="000000" w:themeColor="text1"/>
          <w:sz w:val="22"/>
          <w:szCs w:val="22"/>
        </w:rPr>
        <w:t>Wykonawca wyraża zgodę na dokonywanie przez Zamawiającego lub na jego 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lastRenderedPageBreak/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</w:t>
      </w:r>
      <w:proofErr w:type="spellStart"/>
      <w:r w:rsidRPr="00D50B9F">
        <w:rPr>
          <w:sz w:val="22"/>
          <w:szCs w:val="22"/>
        </w:rPr>
        <w:t>ray</w:t>
      </w:r>
      <w:proofErr w:type="spellEnd"/>
      <w:r w:rsidRPr="00D50B9F">
        <w:rPr>
          <w:sz w:val="22"/>
          <w:szCs w:val="22"/>
        </w:rPr>
        <w:t>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065F9816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</w:t>
      </w:r>
      <w:r w:rsidR="008F0BB1" w:rsidRPr="00217884">
        <w:rPr>
          <w:color w:val="000000" w:themeColor="text1"/>
          <w:sz w:val="22"/>
          <w:szCs w:val="22"/>
        </w:rPr>
        <w:t xml:space="preserve">zobowiązany jest zawrzeć umowę ubezpieczenia odpowiedzialności cywilnej z </w:t>
      </w:r>
      <w:r w:rsidR="008F0BB1" w:rsidRPr="00217884">
        <w:rPr>
          <w:sz w:val="22"/>
          <w:szCs w:val="22"/>
        </w:rPr>
        <w:t xml:space="preserve">sumą gwarancyjną nie niższą niż </w:t>
      </w:r>
      <w:r w:rsidR="009B54D2">
        <w:rPr>
          <w:sz w:val="22"/>
          <w:szCs w:val="22"/>
        </w:rPr>
        <w:t>15 000</w:t>
      </w:r>
      <w:r w:rsidR="008F0BB1" w:rsidRPr="00217884">
        <w:rPr>
          <w:sz w:val="22"/>
          <w:szCs w:val="22"/>
        </w:rPr>
        <w:t xml:space="preserve"> zł. W przypadku zawarcia przez Wykonawcę umowy z Podwykonawcą, Wykonawca zobowiązuje się w terminie 7 dni</w:t>
      </w:r>
      <w:r w:rsidR="009C00CA" w:rsidRPr="00217884">
        <w:rPr>
          <w:sz w:val="22"/>
          <w:szCs w:val="22"/>
        </w:rPr>
        <w:t xml:space="preserve"> od dnia zawarcia umowy</w:t>
      </w:r>
      <w:r w:rsidR="008F0BB1" w:rsidRPr="00217884">
        <w:rPr>
          <w:sz w:val="22"/>
          <w:szCs w:val="22"/>
        </w:rPr>
        <w:t xml:space="preserve"> złożyć zamawiającemu umowę ubezpieczenia odpowiedzialności</w:t>
      </w:r>
      <w:r w:rsidR="008F0BB1" w:rsidRPr="00217884">
        <w:rPr>
          <w:color w:val="000000" w:themeColor="text1"/>
          <w:sz w:val="22"/>
          <w:szCs w:val="22"/>
        </w:rPr>
        <w:t xml:space="preserve">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lastRenderedPageBreak/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D50B9F">
        <w:rPr>
          <w:color w:val="000000" w:themeColor="text1"/>
          <w:sz w:val="22"/>
          <w:szCs w:val="22"/>
        </w:rPr>
        <w:t>PEFexpert</w:t>
      </w:r>
      <w:proofErr w:type="spellEnd"/>
      <w:r w:rsidRPr="00D50B9F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B0C13E8" w14:textId="77777777" w:rsidR="009B54D2" w:rsidRDefault="009B54D2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E59DEB3" w14:textId="77777777" w:rsidR="009B54D2" w:rsidRDefault="009B54D2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296477EF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lastRenderedPageBreak/>
        <w:t>§ 6      PŁATNOŚCI</w:t>
      </w:r>
    </w:p>
    <w:p w14:paraId="58A1D349" w14:textId="3D0694D3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</w:t>
      </w:r>
      <w:r w:rsidR="00F873FF" w:rsidRPr="00D50B9F">
        <w:rPr>
          <w:color w:val="000000" w:themeColor="text1"/>
          <w:sz w:val="22"/>
          <w:szCs w:val="22"/>
        </w:rPr>
        <w:t xml:space="preserve"> za każdy adres osobno</w:t>
      </w:r>
      <w:r w:rsidRPr="00D50B9F">
        <w:rPr>
          <w:color w:val="000000" w:themeColor="text1"/>
          <w:sz w:val="22"/>
          <w:szCs w:val="22"/>
        </w:rPr>
        <w:t>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D50B9F" w:rsidRDefault="006F23C0" w:rsidP="006F23C0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10% wynagrodzenia po protokolarnym odbiorze projektu </w:t>
      </w:r>
      <w:r w:rsidR="00D50B9F" w:rsidRPr="00D50B9F">
        <w:rPr>
          <w:bCs/>
          <w:sz w:val="22"/>
          <w:szCs w:val="22"/>
        </w:rPr>
        <w:t>budowlanego</w:t>
      </w:r>
      <w:r w:rsidRPr="00D50B9F">
        <w:rPr>
          <w:bCs/>
          <w:sz w:val="22"/>
          <w:szCs w:val="22"/>
        </w:rPr>
        <w:t>,</w:t>
      </w:r>
    </w:p>
    <w:p w14:paraId="3DD04A9A" w14:textId="77777777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pozostałych 90% </w:t>
      </w:r>
      <w:r w:rsidRPr="00D50B9F">
        <w:rPr>
          <w:bCs/>
          <w:sz w:val="20"/>
          <w:szCs w:val="20"/>
        </w:rPr>
        <w:t>wynagrodzenia</w:t>
      </w:r>
      <w:r w:rsidRPr="00D50B9F">
        <w:rPr>
          <w:bCs/>
          <w:sz w:val="22"/>
          <w:szCs w:val="22"/>
        </w:rPr>
        <w:t xml:space="preserve"> po protokolarnym odbiorze prac rozbiórkowych</w:t>
      </w:r>
      <w:r w:rsidR="00D50B9F" w:rsidRPr="00D50B9F">
        <w:rPr>
          <w:bCs/>
          <w:sz w:val="22"/>
          <w:szCs w:val="22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20510AB2" w:rsidR="000D6DDB" w:rsidRPr="00217884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</w:t>
      </w:r>
      <w:r w:rsidRPr="005A620B">
        <w:rPr>
          <w:rFonts w:ascii="Times New Roman" w:hAnsi="Times New Roman" w:cs="Times New Roman"/>
          <w:color w:val="000000" w:themeColor="text1"/>
          <w:lang w:eastAsia="pl-PL"/>
        </w:rPr>
        <w:t xml:space="preserve">zobowiązany stosować się do wszystkich poleceń i instrukcji </w:t>
      </w:r>
      <w:r w:rsidR="005A620B" w:rsidRPr="00217884">
        <w:rPr>
          <w:rFonts w:ascii="Times New Roman" w:hAnsi="Times New Roman" w:cs="Times New Roman"/>
        </w:rPr>
        <w:t>osób, o których mowa w ust. 1</w:t>
      </w:r>
      <w:r w:rsidRPr="00217884">
        <w:rPr>
          <w:rFonts w:ascii="Times New Roman" w:hAnsi="Times New Roman" w:cs="Times New Roman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2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2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7CBE940F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9C00CA" w:rsidRPr="00217884">
        <w:rPr>
          <w:sz w:val="22"/>
          <w:szCs w:val="22"/>
        </w:rPr>
        <w:t>w formie pisemnej</w:t>
      </w:r>
      <w:r w:rsidR="009C00CA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3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3642FC62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zwłokę w wykonaniu przedmiotu umowy – w wys. 0,3% wynagrodzenia umownego netto za każdy dzień zwłoki;</w:t>
      </w:r>
    </w:p>
    <w:p w14:paraId="02B1E18F" w14:textId="42D91C09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umowy;</w:t>
      </w:r>
    </w:p>
    <w:p w14:paraId="4A738767" w14:textId="1E155658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lastRenderedPageBreak/>
        <w:t xml:space="preserve">  za zwłokę w usunięciu wad stwierdzonych przy odbiorze lub ujawnionych w okresie gwarancji i rękojmi – w wys. 0,3 % wynagrodzenia umownego netto za każdy dzień zwłoki, liczony od upływu terminu wyznaczonego na usuniecie poszczególnych wad;</w:t>
      </w:r>
    </w:p>
    <w:p w14:paraId="4D1E61F8" w14:textId="06D9FF30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Kary umowne, o których mowa w ust. 2 lit. a) - lit. </w:t>
      </w:r>
      <w:r w:rsidR="0098141C">
        <w:rPr>
          <w:sz w:val="22"/>
          <w:szCs w:val="22"/>
        </w:rPr>
        <w:t>b</w:t>
      </w:r>
      <w:r w:rsidRPr="00D50B9F">
        <w:rPr>
          <w:sz w:val="22"/>
          <w:szCs w:val="22"/>
        </w:rPr>
        <w:t>) podlegają sumowaniu, jednak łączna wysokość kar nie może przekroczyć 50% wynagrodzenia ogółem netto.</w:t>
      </w:r>
    </w:p>
    <w:p w14:paraId="21A141FC" w14:textId="766667EE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Łączna wysokość kary, o której mowa w ust. 2 lit. </w:t>
      </w:r>
      <w:r w:rsidR="0098141C">
        <w:rPr>
          <w:sz w:val="22"/>
          <w:szCs w:val="22"/>
        </w:rPr>
        <w:t>c</w:t>
      </w:r>
      <w:r w:rsidRPr="00D50B9F">
        <w:rPr>
          <w:sz w:val="22"/>
          <w:szCs w:val="22"/>
        </w:rPr>
        <w:t>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3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1C09D69A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w  czasie umówionym Zamawiający może, bez wyznaczania terminu dodatkowego, od umowy odstąpić </w:t>
      </w:r>
      <w:r w:rsidR="00715644" w:rsidRPr="00725275">
        <w:rPr>
          <w:sz w:val="22"/>
          <w:szCs w:val="22"/>
        </w:rPr>
        <w:t xml:space="preserve">jeszcze </w:t>
      </w:r>
      <w:r w:rsidRPr="00D50B9F">
        <w:rPr>
          <w:color w:val="000000" w:themeColor="text1"/>
          <w:sz w:val="22"/>
          <w:szCs w:val="22"/>
        </w:rPr>
        <w:t>przed upływem terminu wykonania robót, określonym w umowie.</w:t>
      </w:r>
    </w:p>
    <w:p w14:paraId="5F8D8BB6" w14:textId="00C4863C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2A42161B" w14:textId="77777777" w:rsidR="000D6DDB" w:rsidRPr="00D50B9F" w:rsidRDefault="000D6DDB" w:rsidP="004D52B2">
      <w:pPr>
        <w:ind w:left="397"/>
        <w:jc w:val="both"/>
        <w:rPr>
          <w:color w:val="000000" w:themeColor="text1"/>
          <w:sz w:val="21"/>
          <w:szCs w:val="21"/>
        </w:rPr>
      </w:pPr>
    </w:p>
    <w:p w14:paraId="4456D377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51FB44E9" w14:textId="14345C8A" w:rsidR="000D6DDB" w:rsidRPr="00725275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sz w:val="22"/>
          <w:szCs w:val="22"/>
        </w:rPr>
      </w:pPr>
      <w:r w:rsidRPr="00725275">
        <w:rPr>
          <w:i w:val="0"/>
          <w:iCs w:val="0"/>
          <w:sz w:val="22"/>
          <w:szCs w:val="22"/>
        </w:rPr>
        <w:t xml:space="preserve">Wykonawca udziela Zamawiającemu </w:t>
      </w:r>
      <w:r w:rsidR="00217884">
        <w:rPr>
          <w:i w:val="0"/>
          <w:iCs w:val="0"/>
          <w:sz w:val="22"/>
          <w:szCs w:val="22"/>
        </w:rPr>
        <w:t>36</w:t>
      </w:r>
      <w:r w:rsidR="00C1422E" w:rsidRPr="00725275">
        <w:rPr>
          <w:i w:val="0"/>
          <w:iCs w:val="0"/>
          <w:sz w:val="22"/>
          <w:szCs w:val="22"/>
        </w:rPr>
        <w:t xml:space="preserve"> miesięcznej </w:t>
      </w:r>
      <w:r w:rsidRPr="00725275">
        <w:rPr>
          <w:i w:val="0"/>
          <w:iCs w:val="0"/>
          <w:sz w:val="22"/>
          <w:szCs w:val="22"/>
        </w:rPr>
        <w:t xml:space="preserve">gwarancji </w:t>
      </w:r>
      <w:r w:rsidR="00A67062" w:rsidRPr="00725275">
        <w:rPr>
          <w:i w:val="0"/>
          <w:iCs w:val="0"/>
          <w:sz w:val="22"/>
          <w:szCs w:val="22"/>
        </w:rPr>
        <w:t>na przedmiot umowy.</w:t>
      </w:r>
    </w:p>
    <w:p w14:paraId="2F8F7FD4" w14:textId="1B0B0547" w:rsidR="000D6DDB" w:rsidRPr="00725275" w:rsidRDefault="00C1422E" w:rsidP="00A32DCD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sz w:val="22"/>
          <w:szCs w:val="22"/>
        </w:rPr>
      </w:pPr>
      <w:r w:rsidRPr="00725275">
        <w:rPr>
          <w:i w:val="0"/>
          <w:iCs w:val="0"/>
          <w:sz w:val="22"/>
          <w:szCs w:val="22"/>
        </w:rPr>
        <w:t>Bieg terminu gwarancji rozpoczną się od</w:t>
      </w:r>
      <w:r w:rsidR="000D6DDB" w:rsidRPr="00725275">
        <w:rPr>
          <w:i w:val="0"/>
          <w:iCs w:val="0"/>
          <w:sz w:val="22"/>
          <w:szCs w:val="22"/>
        </w:rPr>
        <w:t xml:space="preserve">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1D56F9F5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</w:t>
      </w:r>
      <w:r w:rsidR="0098141C">
        <w:rPr>
          <w:b/>
          <w:color w:val="000000" w:themeColor="text1"/>
          <w:sz w:val="22"/>
          <w:szCs w:val="22"/>
        </w:rPr>
        <w:t>2</w:t>
      </w:r>
      <w:r w:rsidRPr="00D50B9F">
        <w:rPr>
          <w:b/>
          <w:color w:val="000000" w:themeColor="text1"/>
          <w:sz w:val="22"/>
          <w:szCs w:val="22"/>
        </w:rPr>
        <w:t xml:space="preserve">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lastRenderedPageBreak/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D8319A2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1440DAA6" w:rsidR="00744734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710C2A3" w14:textId="77777777" w:rsidR="0098141C" w:rsidRPr="00D50B9F" w:rsidRDefault="0098141C" w:rsidP="0098141C">
      <w:pPr>
        <w:pStyle w:val="Tekstpodstawowy3"/>
        <w:spacing w:before="0" w:line="245" w:lineRule="auto"/>
        <w:ind w:left="397"/>
        <w:rPr>
          <w:i w:val="0"/>
          <w:iCs w:val="0"/>
          <w:sz w:val="22"/>
          <w:szCs w:val="22"/>
        </w:rPr>
      </w:pPr>
    </w:p>
    <w:p w14:paraId="23FBFC04" w14:textId="7354B8C2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</w:t>
      </w:r>
      <w:r w:rsidR="0098141C">
        <w:rPr>
          <w:b/>
          <w:color w:val="000000" w:themeColor="text1"/>
          <w:sz w:val="22"/>
          <w:szCs w:val="22"/>
        </w:rPr>
        <w:t>3</w:t>
      </w:r>
      <w:r w:rsidRPr="00D50B9F">
        <w:rPr>
          <w:b/>
          <w:color w:val="000000" w:themeColor="text1"/>
          <w:sz w:val="22"/>
          <w:szCs w:val="22"/>
        </w:rPr>
        <w:t xml:space="preserve"> POSTANOWIENIA KOŃCOWE</w:t>
      </w:r>
    </w:p>
    <w:p w14:paraId="14FFDCFA" w14:textId="5FC80640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2D19FAB8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</w:p>
    <w:p w14:paraId="14C19DAA" w14:textId="77777777" w:rsidR="00E14363" w:rsidRPr="00D50B9F" w:rsidRDefault="00E14363" w:rsidP="00E14363">
      <w:pPr>
        <w:rPr>
          <w:sz w:val="22"/>
          <w:szCs w:val="22"/>
        </w:rPr>
      </w:pPr>
      <w:r w:rsidRPr="00D50B9F">
        <w:rPr>
          <w:sz w:val="22"/>
          <w:szCs w:val="22"/>
        </w:rPr>
        <w:t>Załącznik nr 2 – Oferta wykonawcy</w:t>
      </w:r>
    </w:p>
    <w:p w14:paraId="15F85F03" w14:textId="228FA687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7BF44B6D" w14:textId="77777777" w:rsidR="00E14363" w:rsidRPr="00D50B9F" w:rsidRDefault="00E14363" w:rsidP="00ED7077">
      <w:pPr>
        <w:rPr>
          <w:sz w:val="22"/>
          <w:szCs w:val="22"/>
        </w:rPr>
      </w:pPr>
    </w:p>
    <w:p w14:paraId="56E26E07" w14:textId="77777777" w:rsidR="000D6DDB" w:rsidRPr="00D50B9F" w:rsidRDefault="00962290" w:rsidP="000D6DDB">
      <w:pPr>
        <w:pStyle w:val="Tekstpodstawowy3"/>
        <w:spacing w:before="0"/>
        <w:ind w:left="36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D50B9F" w:rsidRDefault="00A51461">
      <w:pPr>
        <w:rPr>
          <w:color w:val="000000" w:themeColor="text1"/>
        </w:rPr>
      </w:pPr>
    </w:p>
    <w:sectPr w:rsidR="00A51461" w:rsidRPr="00D50B9F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12A2" w14:textId="77777777" w:rsidR="00907FF4" w:rsidRDefault="00907FF4" w:rsidP="008A26B5">
      <w:r>
        <w:separator/>
      </w:r>
    </w:p>
  </w:endnote>
  <w:endnote w:type="continuationSeparator" w:id="0">
    <w:p w14:paraId="5012E535" w14:textId="77777777" w:rsidR="00907FF4" w:rsidRDefault="00907FF4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7749" w14:textId="77777777" w:rsidR="00907FF4" w:rsidRDefault="00907FF4" w:rsidP="008A26B5">
      <w:r>
        <w:separator/>
      </w:r>
    </w:p>
  </w:footnote>
  <w:footnote w:type="continuationSeparator" w:id="0">
    <w:p w14:paraId="60A72BB8" w14:textId="77777777" w:rsidR="00907FF4" w:rsidRDefault="00907FF4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7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356466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11555">
    <w:abstractNumId w:val="17"/>
  </w:num>
  <w:num w:numId="3" w16cid:durableId="789008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681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800280">
    <w:abstractNumId w:val="20"/>
    <w:lvlOverride w:ilvl="0">
      <w:startOverride w:val="1"/>
    </w:lvlOverride>
  </w:num>
  <w:num w:numId="6" w16cid:durableId="854076973">
    <w:abstractNumId w:val="11"/>
  </w:num>
  <w:num w:numId="7" w16cid:durableId="258023301">
    <w:abstractNumId w:val="5"/>
  </w:num>
  <w:num w:numId="8" w16cid:durableId="12852633">
    <w:abstractNumId w:val="1"/>
  </w:num>
  <w:num w:numId="9" w16cid:durableId="1409033435">
    <w:abstractNumId w:val="22"/>
  </w:num>
  <w:num w:numId="10" w16cid:durableId="902108622">
    <w:abstractNumId w:val="21"/>
  </w:num>
  <w:num w:numId="11" w16cid:durableId="41947330">
    <w:abstractNumId w:val="4"/>
  </w:num>
  <w:num w:numId="12" w16cid:durableId="1320840421">
    <w:abstractNumId w:val="16"/>
  </w:num>
  <w:num w:numId="13" w16cid:durableId="1863399704">
    <w:abstractNumId w:val="24"/>
  </w:num>
  <w:num w:numId="14" w16cid:durableId="1332685704">
    <w:abstractNumId w:val="8"/>
  </w:num>
  <w:num w:numId="15" w16cid:durableId="193226925">
    <w:abstractNumId w:val="26"/>
  </w:num>
  <w:num w:numId="16" w16cid:durableId="1233390581">
    <w:abstractNumId w:val="7"/>
  </w:num>
  <w:num w:numId="17" w16cid:durableId="897593819">
    <w:abstractNumId w:val="25"/>
  </w:num>
  <w:num w:numId="18" w16cid:durableId="214584106">
    <w:abstractNumId w:val="28"/>
  </w:num>
  <w:num w:numId="19" w16cid:durableId="1612007971">
    <w:abstractNumId w:val="6"/>
  </w:num>
  <w:num w:numId="20" w16cid:durableId="11098559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2294544">
    <w:abstractNumId w:val="15"/>
  </w:num>
  <w:num w:numId="22" w16cid:durableId="1436513301">
    <w:abstractNumId w:val="18"/>
  </w:num>
  <w:num w:numId="23" w16cid:durableId="577786299">
    <w:abstractNumId w:val="27"/>
  </w:num>
  <w:num w:numId="24" w16cid:durableId="1031496310">
    <w:abstractNumId w:val="30"/>
  </w:num>
  <w:num w:numId="25" w16cid:durableId="477264632">
    <w:abstractNumId w:val="0"/>
  </w:num>
  <w:num w:numId="26" w16cid:durableId="1056202782">
    <w:abstractNumId w:val="23"/>
  </w:num>
  <w:num w:numId="27" w16cid:durableId="1968274586">
    <w:abstractNumId w:val="12"/>
  </w:num>
  <w:num w:numId="28" w16cid:durableId="1618634087">
    <w:abstractNumId w:val="13"/>
  </w:num>
  <w:num w:numId="29" w16cid:durableId="2101560431">
    <w:abstractNumId w:val="3"/>
  </w:num>
  <w:num w:numId="30" w16cid:durableId="778794290">
    <w:abstractNumId w:val="14"/>
  </w:num>
  <w:num w:numId="31" w16cid:durableId="5725440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100661"/>
    <w:rsid w:val="00104BF6"/>
    <w:rsid w:val="0013452C"/>
    <w:rsid w:val="001410E5"/>
    <w:rsid w:val="00144D0D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17884"/>
    <w:rsid w:val="002723EB"/>
    <w:rsid w:val="0028276F"/>
    <w:rsid w:val="002B7953"/>
    <w:rsid w:val="002C34A9"/>
    <w:rsid w:val="002D0CB3"/>
    <w:rsid w:val="00325F47"/>
    <w:rsid w:val="003514B0"/>
    <w:rsid w:val="003C2527"/>
    <w:rsid w:val="003C306A"/>
    <w:rsid w:val="003D2EBC"/>
    <w:rsid w:val="003D5F11"/>
    <w:rsid w:val="003F67C8"/>
    <w:rsid w:val="00407705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A620B"/>
    <w:rsid w:val="005D31B0"/>
    <w:rsid w:val="005F1945"/>
    <w:rsid w:val="00614C7A"/>
    <w:rsid w:val="0063309B"/>
    <w:rsid w:val="0064640C"/>
    <w:rsid w:val="00653E55"/>
    <w:rsid w:val="00674545"/>
    <w:rsid w:val="006834F1"/>
    <w:rsid w:val="00687A72"/>
    <w:rsid w:val="006D0C58"/>
    <w:rsid w:val="006E50D5"/>
    <w:rsid w:val="006F23C0"/>
    <w:rsid w:val="007122C1"/>
    <w:rsid w:val="00714438"/>
    <w:rsid w:val="00715644"/>
    <w:rsid w:val="00725275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F0BB1"/>
    <w:rsid w:val="008F2ED8"/>
    <w:rsid w:val="008F4294"/>
    <w:rsid w:val="009037AD"/>
    <w:rsid w:val="00905B72"/>
    <w:rsid w:val="00907FF4"/>
    <w:rsid w:val="00933A5F"/>
    <w:rsid w:val="009442E7"/>
    <w:rsid w:val="009448AD"/>
    <w:rsid w:val="00962290"/>
    <w:rsid w:val="00965F03"/>
    <w:rsid w:val="0098141C"/>
    <w:rsid w:val="0099591A"/>
    <w:rsid w:val="009A17F9"/>
    <w:rsid w:val="009B54D2"/>
    <w:rsid w:val="009C00CA"/>
    <w:rsid w:val="009C191B"/>
    <w:rsid w:val="009C3FC7"/>
    <w:rsid w:val="009E2E87"/>
    <w:rsid w:val="009E5B75"/>
    <w:rsid w:val="009F4257"/>
    <w:rsid w:val="00A32DCD"/>
    <w:rsid w:val="00A51461"/>
    <w:rsid w:val="00A67062"/>
    <w:rsid w:val="00A83FE1"/>
    <w:rsid w:val="00AA32F1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E1A36"/>
    <w:rsid w:val="00BE7231"/>
    <w:rsid w:val="00BF54F0"/>
    <w:rsid w:val="00BF6475"/>
    <w:rsid w:val="00BF7BE3"/>
    <w:rsid w:val="00C043DF"/>
    <w:rsid w:val="00C1422E"/>
    <w:rsid w:val="00C20F2A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E01136"/>
    <w:rsid w:val="00E1087D"/>
    <w:rsid w:val="00E14363"/>
    <w:rsid w:val="00E744FD"/>
    <w:rsid w:val="00E843BB"/>
    <w:rsid w:val="00E86D72"/>
    <w:rsid w:val="00E91AA1"/>
    <w:rsid w:val="00ED7077"/>
    <w:rsid w:val="00EE20BB"/>
    <w:rsid w:val="00F019A3"/>
    <w:rsid w:val="00F57985"/>
    <w:rsid w:val="00F6582A"/>
    <w:rsid w:val="00F66642"/>
    <w:rsid w:val="00F760CE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99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2976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Emilia Bednarek</cp:lastModifiedBy>
  <cp:revision>118</cp:revision>
  <cp:lastPrinted>2021-07-27T07:52:00Z</cp:lastPrinted>
  <dcterms:created xsi:type="dcterms:W3CDTF">2017-05-09T08:11:00Z</dcterms:created>
  <dcterms:modified xsi:type="dcterms:W3CDTF">2022-05-10T12:50:00Z</dcterms:modified>
</cp:coreProperties>
</file>