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 xml:space="preserve"> 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</w:t>
      </w:r>
      <w:r w:rsidR="00DD4A6F">
        <w:rPr>
          <w:rFonts w:asciiTheme="minorHAnsi" w:hAnsiTheme="minorHAnsi"/>
          <w:sz w:val="32"/>
          <w:u w:val="none"/>
        </w:rPr>
        <w:t>4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1C0452">
        <w:rPr>
          <w:rFonts w:asciiTheme="minorHAnsi" w:hAnsiTheme="minorHAnsi"/>
          <w:sz w:val="24"/>
        </w:rPr>
        <w:t>Sekretarz</w:t>
      </w:r>
      <w:bookmarkStart w:id="0" w:name="_GoBack"/>
      <w:bookmarkEnd w:id="0"/>
      <w:r w:rsidR="00BF7379" w:rsidRPr="006D71D3">
        <w:rPr>
          <w:rFonts w:asciiTheme="minorHAnsi" w:hAnsiTheme="minorHAnsi"/>
          <w:sz w:val="24"/>
        </w:rPr>
        <w:t xml:space="preserve"> Miast</w:t>
      </w:r>
      <w:r w:rsidR="001C0452">
        <w:rPr>
          <w:rFonts w:asciiTheme="minorHAnsi" w:hAnsiTheme="minorHAnsi"/>
          <w:sz w:val="24"/>
        </w:rPr>
        <w:t>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Pr="00592BAD" w:rsidRDefault="003471EB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z siedzibą w …………………………… przy ul. ………………………….. wpisaną do Krajowego Rejestru Sadowego pod numerem KRS ………………………………., prowadzonego przez Sąd Rejonowy dla ………………………………………………………………………………………….., posiadającym nr NIP …………………….. oraz Regon ………………………….. o kapitale zakładowym ………………………………………….. zł , zwanym w dalszej treści umowy „Wykonawcą”, reprezentowanym przez: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b/>
          <w:sz w:val="24"/>
          <w:szCs w:val="24"/>
        </w:rPr>
        <w:t>-</w:t>
      </w:r>
      <w:r w:rsidRPr="00592BA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 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2065D9" w:rsidRPr="004A29C2">
        <w:rPr>
          <w:rFonts w:asciiTheme="minorHAnsi" w:hAnsiTheme="minorHAnsi"/>
          <w:sz w:val="24"/>
        </w:rPr>
        <w:t>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</w:t>
      </w:r>
      <w:r w:rsidR="00DD4A6F">
        <w:rPr>
          <w:rFonts w:asciiTheme="minorHAnsi" w:hAnsiTheme="minorHAnsi"/>
          <w:b w:val="0"/>
          <w:sz w:val="24"/>
        </w:rPr>
        <w:t>4 i 2025</w:t>
      </w:r>
      <w:r w:rsidR="00D65EB3">
        <w:rPr>
          <w:rFonts w:asciiTheme="minorHAnsi" w:hAnsiTheme="minorHAnsi"/>
          <w:b w:val="0"/>
          <w:sz w:val="24"/>
        </w:rPr>
        <w:t>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781BB9" w:rsidRPr="001C2626" w:rsidRDefault="00B76085" w:rsidP="001C2626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="001C2626">
        <w:rPr>
          <w:rFonts w:asciiTheme="minorHAnsi" w:hAnsiTheme="minorHAnsi"/>
          <w:sz w:val="24"/>
          <w:szCs w:val="24"/>
        </w:rPr>
        <w:t xml:space="preserve">przedmiotu umowy </w:t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Pr="006D71D3">
        <w:rPr>
          <w:rFonts w:asciiTheme="minorHAnsi" w:hAnsiTheme="minorHAnsi"/>
          <w:sz w:val="24"/>
          <w:szCs w:val="24"/>
        </w:rPr>
        <w:t xml:space="preserve"> licząc od </w:t>
      </w:r>
      <w:r w:rsidR="00DD4A6F">
        <w:rPr>
          <w:rFonts w:asciiTheme="minorHAnsi" w:hAnsiTheme="minorHAnsi"/>
          <w:sz w:val="24"/>
          <w:szCs w:val="24"/>
        </w:rPr>
        <w:t>01.02.2024</w:t>
      </w:r>
      <w:r w:rsidR="0064101D">
        <w:rPr>
          <w:rFonts w:asciiTheme="minorHAnsi" w:hAnsiTheme="minorHAnsi"/>
          <w:sz w:val="24"/>
          <w:szCs w:val="24"/>
        </w:rPr>
        <w:t xml:space="preserve"> </w:t>
      </w:r>
      <w:r w:rsidR="003435C8" w:rsidRPr="006D71D3">
        <w:rPr>
          <w:rFonts w:asciiTheme="minorHAnsi" w:hAnsiTheme="minorHAnsi"/>
          <w:sz w:val="24"/>
          <w:szCs w:val="24"/>
        </w:rPr>
        <w:t>w zakresie</w:t>
      </w:r>
      <w:r w:rsidR="003435C8"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świadczenia usługi dostępu do sieci </w:t>
      </w:r>
      <w:r w:rsidR="001C2626">
        <w:rPr>
          <w:rFonts w:asciiTheme="minorHAnsi" w:hAnsiTheme="minorHAnsi"/>
          <w:color w:val="000000"/>
          <w:spacing w:val="2"/>
          <w:sz w:val="24"/>
          <w:szCs w:val="24"/>
        </w:rPr>
        <w:t>Internet.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C262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1C2626">
        <w:rPr>
          <w:rFonts w:asciiTheme="minorHAnsi" w:hAnsiTheme="minorHAnsi"/>
          <w:sz w:val="24"/>
          <w:szCs w:val="24"/>
        </w:rPr>
        <w:t>Internet;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</w:t>
      </w:r>
      <w:r w:rsidRPr="006D71D3">
        <w:rPr>
          <w:rFonts w:asciiTheme="minorHAnsi" w:hAnsiTheme="minorHAnsi"/>
          <w:spacing w:val="2"/>
          <w:sz w:val="24"/>
          <w:szCs w:val="24"/>
        </w:rPr>
        <w:lastRenderedPageBreak/>
        <w:t xml:space="preserve">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592BAD">
        <w:rPr>
          <w:rFonts w:asciiTheme="minorHAnsi" w:hAnsiTheme="minorHAnsi"/>
          <w:sz w:val="24"/>
        </w:rPr>
        <w:t>wyznacza się ………………………………………….</w:t>
      </w:r>
    </w:p>
    <w:p w:rsidR="00034376" w:rsidRDefault="000E40EB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592BAD">
        <w:rPr>
          <w:rFonts w:asciiTheme="minorHAnsi" w:hAnsiTheme="minorHAnsi"/>
          <w:sz w:val="24"/>
        </w:rPr>
        <w:t>głównego specjalistę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1C2626">
        <w:rPr>
          <w:rFonts w:asciiTheme="minorHAnsi" w:hAnsiTheme="minorHAnsi"/>
          <w:sz w:val="24"/>
        </w:rPr>
        <w:t>Rafała Kowalkowskiego</w:t>
      </w:r>
      <w:r w:rsidR="005C4548" w:rsidRPr="00684098">
        <w:rPr>
          <w:rFonts w:asciiTheme="minorHAnsi" w:hAnsiTheme="minorHAnsi"/>
          <w:sz w:val="24"/>
        </w:rPr>
        <w:t>;</w:t>
      </w:r>
    </w:p>
    <w:p w:rsidR="00034376" w:rsidRPr="00034376" w:rsidRDefault="00034376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Wzajemne udostępnienie danych osobowych pracowników i współpracowników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3) 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8748F8" w:rsidRDefault="00AC2770" w:rsidP="008748F8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8748F8" w:rsidRPr="008748F8" w:rsidRDefault="000E40EB" w:rsidP="008748F8">
      <w:pPr>
        <w:pStyle w:val="Akapitzlist"/>
        <w:numPr>
          <w:ilvl w:val="0"/>
          <w:numId w:val="22"/>
        </w:numPr>
        <w:spacing w:after="120"/>
        <w:ind w:left="-284"/>
        <w:jc w:val="center"/>
        <w:rPr>
          <w:rFonts w:asciiTheme="minorHAnsi" w:hAnsiTheme="minorHAnsi"/>
          <w:b/>
          <w:sz w:val="24"/>
        </w:rPr>
      </w:pPr>
      <w:r w:rsidRPr="008748F8">
        <w:rPr>
          <w:rFonts w:asciiTheme="minorHAnsi" w:hAnsiTheme="minorHAnsi"/>
          <w:sz w:val="24"/>
        </w:rPr>
        <w:t>Strony us</w:t>
      </w:r>
      <w:r w:rsidR="00880DC1" w:rsidRPr="008748F8">
        <w:rPr>
          <w:rFonts w:asciiTheme="minorHAnsi" w:hAnsiTheme="minorHAnsi"/>
          <w:sz w:val="24"/>
        </w:rPr>
        <w:t>talają</w:t>
      </w:r>
      <w:r w:rsidR="00280706" w:rsidRPr="008748F8">
        <w:rPr>
          <w:rFonts w:asciiTheme="minorHAnsi" w:hAnsiTheme="minorHAnsi"/>
          <w:sz w:val="24"/>
        </w:rPr>
        <w:t xml:space="preserve"> wynagrodzenie Wykonawcy w kwocie</w:t>
      </w:r>
      <w:r w:rsidR="003471EB" w:rsidRPr="008748F8">
        <w:rPr>
          <w:rFonts w:asciiTheme="minorHAnsi" w:hAnsiTheme="minorHAnsi"/>
          <w:sz w:val="24"/>
        </w:rPr>
        <w:t>……………………….</w:t>
      </w:r>
      <w:r w:rsidR="00280706" w:rsidRPr="008748F8">
        <w:rPr>
          <w:rFonts w:asciiTheme="minorHAnsi" w:hAnsiTheme="minorHAnsi"/>
          <w:sz w:val="24"/>
        </w:rPr>
        <w:t xml:space="preserve"> (brutto)</w:t>
      </w:r>
      <w:r w:rsidR="00880DC1" w:rsidRPr="008748F8">
        <w:rPr>
          <w:rFonts w:asciiTheme="minorHAnsi" w:hAnsiTheme="minorHAnsi"/>
          <w:sz w:val="24"/>
        </w:rPr>
        <w:t>,</w:t>
      </w:r>
      <w:r w:rsidR="00280706" w:rsidRPr="008748F8">
        <w:rPr>
          <w:rFonts w:asciiTheme="minorHAnsi" w:hAnsiTheme="minorHAnsi"/>
          <w:sz w:val="24"/>
        </w:rPr>
        <w:t xml:space="preserve"> słownie: </w:t>
      </w:r>
      <w:r w:rsidR="003471EB" w:rsidRPr="008748F8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8748F8">
        <w:rPr>
          <w:rFonts w:asciiTheme="minorHAnsi" w:hAnsiTheme="minorHAnsi"/>
          <w:sz w:val="24"/>
        </w:rPr>
        <w:t xml:space="preserve">, </w:t>
      </w:r>
    </w:p>
    <w:p w:rsidR="00A675A9" w:rsidRPr="008748F8" w:rsidRDefault="00BD56FA" w:rsidP="008748F8">
      <w:pPr>
        <w:pStyle w:val="Akapitzlist"/>
        <w:numPr>
          <w:ilvl w:val="0"/>
          <w:numId w:val="22"/>
        </w:numPr>
        <w:spacing w:after="120"/>
        <w:jc w:val="center"/>
        <w:rPr>
          <w:rFonts w:asciiTheme="minorHAnsi" w:hAnsiTheme="minorHAnsi"/>
          <w:b/>
          <w:sz w:val="24"/>
        </w:rPr>
      </w:pPr>
      <w:r w:rsidRPr="008748F8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8748F8">
        <w:rPr>
          <w:rFonts w:asciiTheme="minorHAnsi" w:hAnsiTheme="minorHAnsi"/>
          <w:sz w:val="24"/>
          <w:szCs w:val="24"/>
        </w:rPr>
        <w:t>ającej z oferty Wykonawcy.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lastRenderedPageBreak/>
        <w:t>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lastRenderedPageBreak/>
        <w:t>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9A5791" w:rsidP="007A58FF">
      <w:pPr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0B03A5" w:rsidRDefault="00771876" w:rsidP="000B03A5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0B03A5" w:rsidRDefault="000B03A5" w:rsidP="000B03A5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0B03A5">
        <w:rPr>
          <w:rFonts w:asciiTheme="minorHAnsi" w:hAnsiTheme="minorHAnsi"/>
          <w:sz w:val="24"/>
        </w:rPr>
        <w:t>Kary umowne będą naliczane po zakończeniu procedury reklamacyjnej, poprzez wystawienie 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 oraz w Regulaminie świadczenia usług telekomunikacyjnych Wykonawcy pod warunkiem, że zapisy Regulaminu świadczenia usług telekomunikacyjnych Wykonawcy nie są sprzeczne z zapisami umowy i opisu przedmiotu zamówienia</w:t>
      </w: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592BAD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Łączna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wysokość odszkodowania wraz z naliczonymi karami nie przekroczy  całkowitej wartości umowy.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748F8" w:rsidRDefault="008748F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lastRenderedPageBreak/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C2626">
      <w:pPr>
        <w:tabs>
          <w:tab w:val="left" w:pos="284"/>
          <w:tab w:val="left" w:pos="5386"/>
          <w:tab w:val="left" w:pos="7158"/>
        </w:tabs>
        <w:ind w:left="284"/>
        <w:jc w:val="both"/>
        <w:rPr>
          <w:rFonts w:asciiTheme="minorHAnsi" w:hAnsiTheme="minorHAnsi"/>
          <w:sz w:val="24"/>
          <w:szCs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0B03A5" w:rsidRDefault="000B03A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0B03A5">
        <w:rPr>
          <w:rFonts w:asciiTheme="minorHAnsi" w:hAnsiTheme="minorHAnsi"/>
          <w:snapToGrid w:val="0"/>
          <w:sz w:val="24"/>
          <w:szCs w:val="24"/>
        </w:rPr>
        <w:t>W sprawach nie uregulowanych w niniejszej umowie będą miały zastosowanie przepisy  ustawy Prawo zamówień publicznych, właściwe przepisy Kodeksu cywilnego, przepisy Prawa telekomunikacyjnego oraz</w:t>
      </w:r>
      <w:r w:rsidRPr="000B03A5">
        <w:rPr>
          <w:rFonts w:asciiTheme="minorHAnsi" w:hAnsiTheme="minorHAnsi" w:cstheme="minorHAnsi"/>
          <w:sz w:val="24"/>
          <w:szCs w:val="24"/>
        </w:rPr>
        <w:t xml:space="preserve"> Regulaminie świadczenia usług telekomunikacyjnych Wykonawcy</w:t>
      </w:r>
      <w:r w:rsidRPr="000B03A5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pod warunkiem</w:t>
      </w:r>
      <w:r w:rsidRPr="000B03A5">
        <w:rPr>
          <w:rFonts w:asciiTheme="minorHAnsi" w:hAnsiTheme="minorHAnsi"/>
          <w:snapToGrid w:val="0"/>
          <w:sz w:val="24"/>
          <w:szCs w:val="24"/>
        </w:rPr>
        <w:t>,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0B03A5">
        <w:rPr>
          <w:rFonts w:asciiTheme="minorHAnsi" w:hAnsiTheme="minorHAnsi"/>
          <w:snapToGrid w:val="0"/>
          <w:sz w:val="24"/>
          <w:szCs w:val="24"/>
        </w:rPr>
        <w:t>że nie jest on sprzeczny z zapisami umowy zaś w sprawach procesowych przepisy kodeksu postępowania cywilnego oraz postanowienia specyfikacji istotnych warunków zamówienia</w:t>
      </w:r>
      <w:r w:rsidR="00125D8F" w:rsidRPr="000B03A5">
        <w:rPr>
          <w:rFonts w:asciiTheme="minorHAnsi" w:hAnsiTheme="minorHAnsi"/>
          <w:snapToGrid w:val="0"/>
          <w:sz w:val="24"/>
          <w:szCs w:val="24"/>
        </w:rPr>
        <w:t>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0B03A5" w:rsidRDefault="000B03A5">
      <w:pPr>
        <w:pStyle w:val="Nagwek4"/>
        <w:rPr>
          <w:rFonts w:asciiTheme="minorHAnsi" w:hAnsiTheme="minorHAnsi"/>
          <w:b w:val="0"/>
        </w:rPr>
      </w:pPr>
    </w:p>
    <w:p w:rsidR="000B03A5" w:rsidRDefault="000B03A5">
      <w:pPr>
        <w:pStyle w:val="Nagwek4"/>
        <w:rPr>
          <w:rFonts w:asciiTheme="minorHAnsi" w:hAnsiTheme="minorHAnsi"/>
          <w:b w:val="0"/>
        </w:rPr>
      </w:pPr>
    </w:p>
    <w:p w:rsidR="000B03A5" w:rsidRDefault="000B03A5">
      <w:pPr>
        <w:pStyle w:val="Nagwek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Załącznik:</w:t>
      </w:r>
    </w:p>
    <w:p w:rsidR="00125D8F" w:rsidRPr="006D71D3" w:rsidRDefault="000B03A5">
      <w:pPr>
        <w:pStyle w:val="Nagwek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Regulamin świadczenia usług telekomunikacyjnych Wykonawcy</w:t>
      </w:r>
      <w:r w:rsidR="00125D8F" w:rsidRPr="006D71D3">
        <w:rPr>
          <w:rFonts w:asciiTheme="minorHAnsi" w:hAnsiTheme="minorHAnsi"/>
          <w:b w:val="0"/>
        </w:rPr>
        <w:tab/>
      </w:r>
      <w:r w:rsidR="00125D8F" w:rsidRPr="006D71D3">
        <w:rPr>
          <w:rFonts w:asciiTheme="minorHAnsi" w:hAnsiTheme="minorHAnsi"/>
          <w:b w:val="0"/>
        </w:rPr>
        <w:tab/>
      </w:r>
      <w:r w:rsidR="00125D8F" w:rsidRPr="006D71D3">
        <w:rPr>
          <w:rFonts w:asciiTheme="minorHAnsi" w:hAnsiTheme="minorHAnsi"/>
          <w:b w:val="0"/>
        </w:rPr>
        <w:tab/>
      </w:r>
      <w:r w:rsidR="00125D8F" w:rsidRPr="006D71D3">
        <w:rPr>
          <w:rFonts w:asciiTheme="minorHAnsi" w:hAnsiTheme="minorHAnsi"/>
          <w:b w:val="0"/>
        </w:rPr>
        <w:tab/>
      </w:r>
      <w:r w:rsidR="00125D8F" w:rsidRPr="006D71D3">
        <w:rPr>
          <w:rFonts w:asciiTheme="minorHAnsi" w:hAnsiTheme="minorHAnsi"/>
          <w:b w:val="0"/>
        </w:rPr>
        <w:tab/>
      </w:r>
      <w:r w:rsidR="00125D8F" w:rsidRPr="006D71D3">
        <w:rPr>
          <w:rFonts w:asciiTheme="minorHAnsi" w:hAnsiTheme="minorHAnsi"/>
          <w:b w:val="0"/>
        </w:rPr>
        <w:tab/>
      </w:r>
      <w:r w:rsidR="00125D8F"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5D" w:rsidRDefault="0095455D">
      <w:r>
        <w:separator/>
      </w:r>
    </w:p>
  </w:endnote>
  <w:endnote w:type="continuationSeparator" w:id="0">
    <w:p w:rsidR="0095455D" w:rsidRDefault="0095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4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5D" w:rsidRDefault="0095455D">
      <w:r>
        <w:separator/>
      </w:r>
    </w:p>
  </w:footnote>
  <w:footnote w:type="continuationSeparator" w:id="0">
    <w:p w:rsidR="0095455D" w:rsidRDefault="0095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4EDD"/>
    <w:multiLevelType w:val="hybridMultilevel"/>
    <w:tmpl w:val="72E63D0C"/>
    <w:lvl w:ilvl="0" w:tplc="48C04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3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9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21"/>
  </w:num>
  <w:num w:numId="11">
    <w:abstractNumId w:val="12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13"/>
  </w:num>
  <w:num w:numId="21">
    <w:abstractNumId w:val="1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4376"/>
    <w:rsid w:val="0003527D"/>
    <w:rsid w:val="00044303"/>
    <w:rsid w:val="000544A0"/>
    <w:rsid w:val="00077670"/>
    <w:rsid w:val="00082E8B"/>
    <w:rsid w:val="00094AFA"/>
    <w:rsid w:val="000A0806"/>
    <w:rsid w:val="000A6C63"/>
    <w:rsid w:val="000B03A5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0452"/>
    <w:rsid w:val="001C2626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05A0"/>
    <w:rsid w:val="002B4CC7"/>
    <w:rsid w:val="002C4BB2"/>
    <w:rsid w:val="002C688E"/>
    <w:rsid w:val="002E2ACE"/>
    <w:rsid w:val="00301E14"/>
    <w:rsid w:val="003167D4"/>
    <w:rsid w:val="003174DE"/>
    <w:rsid w:val="0033796F"/>
    <w:rsid w:val="003435C8"/>
    <w:rsid w:val="003471EB"/>
    <w:rsid w:val="00350114"/>
    <w:rsid w:val="00365101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5FB4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92BAD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1A70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2EE5"/>
    <w:rsid w:val="00697E76"/>
    <w:rsid w:val="006A359C"/>
    <w:rsid w:val="006B5EAA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58FF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748F8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21FC6"/>
    <w:rsid w:val="0095455D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E63BB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D4A6F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757D0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3CE0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link w:val="Tekstpodstawowy3Znak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592BAD"/>
    <w:rPr>
      <w:b/>
      <w:sz w:val="22"/>
    </w:rPr>
  </w:style>
  <w:style w:type="paragraph" w:styleId="Bezodstpw">
    <w:name w:val="No Spacing"/>
    <w:uiPriority w:val="1"/>
    <w:qFormat/>
    <w:rsid w:val="0059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FAFB-3975-45B2-BE33-EBB627C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2</cp:revision>
  <cp:lastPrinted>2008-12-02T12:31:00Z</cp:lastPrinted>
  <dcterms:created xsi:type="dcterms:W3CDTF">2023-12-21T12:28:00Z</dcterms:created>
  <dcterms:modified xsi:type="dcterms:W3CDTF">2023-12-21T12:28:00Z</dcterms:modified>
</cp:coreProperties>
</file>