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9C2B9D"/>
    <w:p w14:paraId="170D1742" w14:textId="1670C7A4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D1588D">
        <w:t xml:space="preserve"> MATERIAŁÓW BETONOWYCH</w:t>
      </w:r>
    </w:p>
    <w:p w14:paraId="6C41EB2F" w14:textId="3E172211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="00D1588D">
        <w:rPr>
          <w:rFonts w:cs="Calibri"/>
          <w:szCs w:val="22"/>
        </w:rPr>
        <w:t>materiałów betonowych</w:t>
      </w:r>
      <w:r w:rsidR="003C2E96">
        <w:rPr>
          <w:rFonts w:cs="Calibri"/>
          <w:szCs w:val="22"/>
        </w:rPr>
        <w:t xml:space="preserve">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58DBA7D2" w:rsidR="005C3E7D" w:rsidRDefault="005C3E7D" w:rsidP="00D83F46">
      <w:pPr>
        <w:rPr>
          <w:lang w:eastAsia="en-US"/>
        </w:rPr>
      </w:pPr>
      <w:r>
        <w:rPr>
          <w:lang w:eastAsia="en-US"/>
        </w:rPr>
        <w:t>Piotra Handwerkera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318EEE14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D1588D">
        <w:t>materiałów betonowych wraz z rozładunkiem</w:t>
      </w:r>
      <w:r w:rsidR="002C1425">
        <w:rPr>
          <w:lang w:eastAsia="en-US"/>
        </w:rPr>
        <w:t>.</w:t>
      </w:r>
    </w:p>
    <w:p w14:paraId="7C2C5704" w14:textId="6AECC33D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423019">
        <w:t xml:space="preserve">12/II/2024/WP 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1F37B8AA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4C5541">
        <w:t>materiałów betonowych</w:t>
      </w:r>
    </w:p>
    <w:p w14:paraId="794DAC4E" w14:textId="1CBF31B6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 xml:space="preserve">Wykonawca zobowiązuje się do sprzedaży Zamawiającemu </w:t>
      </w:r>
      <w:r w:rsidR="00C80586">
        <w:rPr>
          <w:lang w:eastAsia="en-US"/>
        </w:rPr>
        <w:t>materiałów betonowych</w:t>
      </w:r>
      <w:r w:rsidR="00685F5E">
        <w:rPr>
          <w:lang w:eastAsia="en-US"/>
        </w:rPr>
        <w:t xml:space="preserve"> </w:t>
      </w:r>
      <w:r>
        <w:rPr>
          <w:lang w:eastAsia="en-US"/>
        </w:rPr>
        <w:t xml:space="preserve">na bieżąco według </w:t>
      </w:r>
      <w:r w:rsidR="002E6E4A">
        <w:rPr>
          <w:lang w:eastAsia="en-US"/>
        </w:rPr>
        <w:t>potrzeb</w:t>
      </w:r>
      <w:r w:rsidR="006F2A66">
        <w:rPr>
          <w:lang w:eastAsia="en-US"/>
        </w:rPr>
        <w:t xml:space="preserve"> w okresie </w:t>
      </w:r>
      <w:r w:rsidR="00423019">
        <w:rPr>
          <w:lang w:eastAsia="en-US"/>
        </w:rPr>
        <w:t xml:space="preserve">9 miesięcy </w:t>
      </w:r>
      <w:r w:rsidR="006F2A66">
        <w:rPr>
          <w:lang w:eastAsia="en-US"/>
        </w:rPr>
        <w:t>od chwili pod</w:t>
      </w:r>
      <w:r w:rsidR="00F03FA6">
        <w:rPr>
          <w:lang w:eastAsia="en-US"/>
        </w:rPr>
        <w:t>pisania umowy</w:t>
      </w:r>
      <w:bookmarkStart w:id="4" w:name="_GoBack"/>
      <w:bookmarkEnd w:id="4"/>
      <w:r w:rsidR="007C1E1C">
        <w:rPr>
          <w:lang w:eastAsia="en-US"/>
        </w:rPr>
        <w:t xml:space="preserve">. </w:t>
      </w:r>
      <w:r w:rsidR="00C80586">
        <w:rPr>
          <w:lang w:eastAsia="en-US"/>
        </w:rPr>
        <w:t xml:space="preserve">Materiały betonowe </w:t>
      </w:r>
      <w:r w:rsidR="007C1E1C">
        <w:rPr>
          <w:lang w:eastAsia="en-US"/>
        </w:rPr>
        <w:t>będ</w:t>
      </w:r>
      <w:r w:rsidR="00C80586">
        <w:rPr>
          <w:lang w:eastAsia="en-US"/>
        </w:rPr>
        <w:t>ą</w:t>
      </w:r>
      <w:r w:rsidR="007C1E1C">
        <w:rPr>
          <w:lang w:eastAsia="en-US"/>
        </w:rPr>
        <w:t xml:space="preserve"> </w:t>
      </w:r>
      <w:r w:rsidR="00C80586">
        <w:rPr>
          <w:lang w:eastAsia="en-US"/>
        </w:rPr>
        <w:t xml:space="preserve">dostarczane </w:t>
      </w:r>
      <w:r w:rsidR="0047364C">
        <w:rPr>
          <w:lang w:eastAsia="en-US"/>
        </w:rPr>
        <w:t xml:space="preserve">i rozładowywane </w:t>
      </w:r>
      <w:r w:rsidR="00C80586">
        <w:rPr>
          <w:lang w:eastAsia="en-US"/>
        </w:rPr>
        <w:t>staraniem i na koszt Wykonawcy do Bazy nr II Zamawiającego mieszczącej się w Katowicach przy ul. Milowickiej.</w:t>
      </w:r>
    </w:p>
    <w:p w14:paraId="5A2BF418" w14:textId="4AD35103" w:rsidR="0047364C" w:rsidRDefault="0047364C" w:rsidP="000F4BAF">
      <w:pPr>
        <w:pStyle w:val="poziom11"/>
        <w:rPr>
          <w:lang w:eastAsia="en-US"/>
        </w:rPr>
      </w:pPr>
      <w:r>
        <w:rPr>
          <w:lang w:eastAsia="en-US"/>
        </w:rPr>
        <w:t xml:space="preserve">Zamówienia składane będą </w:t>
      </w:r>
      <w:r w:rsidR="00852901">
        <w:rPr>
          <w:lang w:eastAsia="en-US"/>
        </w:rPr>
        <w:t>drogą elektroniczną</w:t>
      </w:r>
      <w:r w:rsidR="002D71E2">
        <w:rPr>
          <w:lang w:eastAsia="en-US"/>
        </w:rPr>
        <w:t xml:space="preserve"> (poczta e – mail)</w:t>
      </w:r>
      <w:r w:rsidR="00852901">
        <w:rPr>
          <w:lang w:eastAsia="en-US"/>
        </w:rPr>
        <w:t xml:space="preserve">. Uznaje się, </w:t>
      </w:r>
      <w:r w:rsidR="002D71E2">
        <w:rPr>
          <w:lang w:eastAsia="en-US"/>
        </w:rPr>
        <w:t>że zamówienie zostało skutecznie złożone</w:t>
      </w:r>
      <w:r w:rsidR="00923731">
        <w:rPr>
          <w:lang w:eastAsia="en-US"/>
        </w:rPr>
        <w:t xml:space="preserve"> w momencie </w:t>
      </w:r>
      <w:r w:rsidR="0006202D">
        <w:rPr>
          <w:lang w:eastAsia="en-US"/>
        </w:rPr>
        <w:t>zapisu na serwerze poczty elektronicznej Wykonawcy.</w:t>
      </w:r>
    </w:p>
    <w:p w14:paraId="2F7116C0" w14:textId="03E86215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będą materiały betonowe w sortymentach określonych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26A89BB2" w14:textId="077E3877" w:rsidR="004B308C" w:rsidRDefault="004C5541" w:rsidP="000F4BAF">
      <w:pPr>
        <w:pStyle w:val="poziom11"/>
        <w:rPr>
          <w:lang w:eastAsia="en-US"/>
        </w:rPr>
      </w:pPr>
      <w:r>
        <w:rPr>
          <w:lang w:eastAsia="en-US"/>
        </w:rPr>
        <w:t>Dostawa</w:t>
      </w:r>
      <w:r w:rsidR="004B308C">
        <w:rPr>
          <w:lang w:eastAsia="en-US"/>
        </w:rPr>
        <w:t xml:space="preserve"> odbywać się będzie</w:t>
      </w:r>
      <w:r>
        <w:rPr>
          <w:lang w:eastAsia="en-US"/>
        </w:rPr>
        <w:t xml:space="preserve"> na każdorazowe zamówienie Zamawiającego</w:t>
      </w:r>
      <w:r w:rsidR="00C80586">
        <w:rPr>
          <w:lang w:eastAsia="en-US"/>
        </w:rPr>
        <w:t xml:space="preserve"> w ciągu 24 godzin od złożenia zamówienia, </w:t>
      </w:r>
      <w:r w:rsidR="008C6275">
        <w:rPr>
          <w:lang w:eastAsia="en-US"/>
        </w:rPr>
        <w:t>w dniach roboczych w godzinach od 7.00 do godziny 14.00</w:t>
      </w:r>
      <w:r w:rsidR="000D6C88">
        <w:rPr>
          <w:lang w:eastAsia="en-US"/>
        </w:rPr>
        <w:t>.</w:t>
      </w:r>
      <w:r w:rsidR="004D6573">
        <w:rPr>
          <w:lang w:eastAsia="en-US"/>
        </w:rPr>
        <w:t xml:space="preserve"> </w:t>
      </w:r>
    </w:p>
    <w:p w14:paraId="6918E29F" w14:textId="70797361" w:rsidR="004D6573" w:rsidRDefault="008C6275" w:rsidP="000F4BAF">
      <w:pPr>
        <w:pStyle w:val="poziom11"/>
        <w:rPr>
          <w:lang w:eastAsia="en-US"/>
        </w:rPr>
      </w:pPr>
      <w:r>
        <w:rPr>
          <w:lang w:eastAsia="en-US"/>
        </w:rPr>
        <w:lastRenderedPageBreak/>
        <w:t>Zamawiający gwarantuje minimum logistyczne pojedynczego zamówienia w postaci sortymentu zajmującego co najmniej 10 pełnych palet</w:t>
      </w:r>
      <w:r w:rsidR="0047364C">
        <w:rPr>
          <w:lang w:eastAsia="en-US"/>
        </w:rPr>
        <w:t>, przy czym na każdej palecie musi znajdować się jeden sortyment materiałów betonowych.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36E64CC6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5C7D50">
        <w:t>ustalone na podstawie oferty</w:t>
      </w:r>
      <w:r w:rsidR="00B1777B">
        <w:t xml:space="preserve"> i poniższych p</w:t>
      </w:r>
      <w:r w:rsidR="00FF0755">
        <w:t>odp</w:t>
      </w:r>
      <w:r w:rsidR="00B1777B">
        <w:t>unktów</w:t>
      </w:r>
      <w:r>
        <w:t>.</w:t>
      </w:r>
    </w:p>
    <w:p w14:paraId="25D26AB3" w14:textId="1EABAAC6" w:rsidR="005C7D50" w:rsidRDefault="005C7D50" w:rsidP="009C2B9D">
      <w:pPr>
        <w:pStyle w:val="poziom11"/>
        <w:rPr>
          <w:lang w:eastAsia="en-US"/>
        </w:rPr>
      </w:pPr>
      <w:r>
        <w:t>Cen</w:t>
      </w:r>
      <w:r w:rsidR="0006202D">
        <w:t>y</w:t>
      </w:r>
      <w:r w:rsidR="007A3A81">
        <w:t xml:space="preserve"> </w:t>
      </w:r>
      <w:r w:rsidR="00B1777B">
        <w:t>jedn</w:t>
      </w:r>
      <w:r w:rsidR="0006202D">
        <w:t>ostkowe poszczególnych sortymentów materiałów betonowych</w:t>
      </w:r>
      <w:r w:rsidR="004676D1">
        <w:t xml:space="preserve"> </w:t>
      </w:r>
      <w:r w:rsidR="0006202D">
        <w:t>są</w:t>
      </w:r>
      <w:r w:rsidR="004676D1">
        <w:t xml:space="preserve"> stał</w:t>
      </w:r>
      <w:r w:rsidR="0006202D">
        <w:t>e</w:t>
      </w:r>
      <w:r w:rsidR="004676D1">
        <w:t xml:space="preserve"> i niezmienn</w:t>
      </w:r>
      <w:r w:rsidR="0006202D">
        <w:t>e</w:t>
      </w:r>
      <w:r w:rsidR="004676D1">
        <w:t xml:space="preserve"> przez cały okres umowy</w:t>
      </w:r>
      <w:r w:rsidR="005F13D4">
        <w:t xml:space="preserve"> z zastrzeżeniem przypadków wskazanych w pkt. 3.4.</w:t>
      </w:r>
    </w:p>
    <w:p w14:paraId="659314E2" w14:textId="1038C7FD" w:rsidR="005238D3" w:rsidRDefault="0006202D" w:rsidP="009C2B9D">
      <w:pPr>
        <w:pStyle w:val="poziom11"/>
        <w:rPr>
          <w:lang w:eastAsia="en-US"/>
        </w:rPr>
      </w:pPr>
      <w:r>
        <w:t>Wstępna w</w:t>
      </w:r>
      <w:r w:rsidR="00C37979">
        <w:t>artoś</w:t>
      </w:r>
      <w:r>
        <w:t xml:space="preserve">ć </w:t>
      </w:r>
      <w:r w:rsidR="00C37979">
        <w:t>umowy wynosi</w:t>
      </w:r>
      <w:r w:rsidR="005238D3">
        <w:t>:</w:t>
      </w:r>
    </w:p>
    <w:p w14:paraId="20E10338" w14:textId="628D5293" w:rsidR="005E0589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podstawowym</w:t>
      </w:r>
      <w:r w:rsidR="00C37979">
        <w:t xml:space="preserve"> </w:t>
      </w:r>
      <w:r w:rsidR="005E0589">
        <w:t>............................................. zł netto i ........................................... zł brutto uwzględniając</w:t>
      </w:r>
      <w:r w:rsidR="00D63F40">
        <w:t>ą</w:t>
      </w:r>
      <w:r w:rsidR="005E0589">
        <w:t xml:space="preserve"> podatek VAT wg. stawki </w:t>
      </w:r>
      <w:r w:rsidR="00C37979">
        <w:t>23</w:t>
      </w:r>
      <w:r w:rsidR="005E0589">
        <w:t>%</w:t>
      </w:r>
      <w:r w:rsidR="0047364C">
        <w:t>,</w:t>
      </w:r>
    </w:p>
    <w:p w14:paraId="0FDA7476" w14:textId="22599A9E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W zakresie opcjonalnym</w:t>
      </w:r>
      <w:r w:rsidR="0047364C">
        <w:t xml:space="preserve"> (nie dotyczy),</w:t>
      </w:r>
    </w:p>
    <w:p w14:paraId="6826A57F" w14:textId="13495F9B" w:rsidR="005238D3" w:rsidRDefault="005238D3" w:rsidP="005238D3">
      <w:pPr>
        <w:pStyle w:val="poziom11"/>
        <w:numPr>
          <w:ilvl w:val="0"/>
          <w:numId w:val="28"/>
        </w:numPr>
        <w:rPr>
          <w:lang w:eastAsia="en-US"/>
        </w:rPr>
      </w:pPr>
      <w:r>
        <w:t>Łącznie ............................................. na kwotę zł netto i ........................................... zł brutto uwzględniającą podatek VAT wg. stawki .......................%</w:t>
      </w:r>
    </w:p>
    <w:p w14:paraId="0D2ADBD0" w14:textId="0CBADCD1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 xml:space="preserve">zgodnie z podpunktami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>
        <w:rPr>
          <w:bCs/>
        </w:rPr>
        <w:t>2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FB689A5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>- zmiany stawki podatku od towarów i usług (vat)</w:t>
      </w:r>
      <w:r w:rsidR="005F13D4">
        <w:rPr>
          <w:b w:val="0"/>
          <w:bCs/>
          <w:caps w:val="0"/>
        </w:rPr>
        <w:t>,</w:t>
      </w:r>
    </w:p>
    <w:p w14:paraId="2CAF3B9B" w14:textId="4A66B062" w:rsidR="005F13D4" w:rsidRPr="005F13D4" w:rsidRDefault="005F13D4" w:rsidP="005F13D4">
      <w:pPr>
        <w:pStyle w:val="poziom11"/>
        <w:numPr>
          <w:ilvl w:val="0"/>
          <w:numId w:val="0"/>
        </w:numPr>
        <w:ind w:left="567"/>
        <w:rPr>
          <w:lang w:eastAsia="en-US"/>
        </w:rPr>
      </w:pPr>
      <w:r>
        <w:rPr>
          <w:lang w:eastAsia="en-US"/>
        </w:rPr>
        <w:t>- waloryzacji.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33687FD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wyłącznie za </w:t>
      </w:r>
      <w:r w:rsidR="00E5542C">
        <w:rPr>
          <w:lang w:eastAsia="en-US"/>
        </w:rPr>
        <w:t>faktycznie</w:t>
      </w:r>
      <w:r w:rsidR="0047364C">
        <w:rPr>
          <w:lang w:eastAsia="en-US"/>
        </w:rPr>
        <w:t xml:space="preserve"> zamówione i</w:t>
      </w:r>
      <w:r w:rsidR="00E5542C">
        <w:rPr>
          <w:lang w:eastAsia="en-US"/>
        </w:rPr>
        <w:t xml:space="preserve"> odebrane ilości </w:t>
      </w:r>
      <w:r w:rsidR="0047364C">
        <w:rPr>
          <w:lang w:eastAsia="en-US"/>
        </w:rPr>
        <w:t xml:space="preserve">materiałów </w:t>
      </w:r>
      <w:r w:rsidR="0006202D">
        <w:rPr>
          <w:lang w:eastAsia="en-US"/>
        </w:rPr>
        <w:t>betonowych</w:t>
      </w:r>
      <w:r w:rsidR="004676D1">
        <w:rPr>
          <w:lang w:eastAsia="en-US"/>
        </w:rPr>
        <w:t xml:space="preserve"> </w:t>
      </w:r>
      <w:r w:rsidR="00E5542C">
        <w:rPr>
          <w:lang w:eastAsia="en-US"/>
        </w:rPr>
        <w:t xml:space="preserve">na </w:t>
      </w:r>
      <w:r>
        <w:rPr>
          <w:lang w:eastAsia="en-US"/>
        </w:rPr>
        <w:t xml:space="preserve">podstawie faktur </w:t>
      </w:r>
      <w:r w:rsidR="00E5542C">
        <w:rPr>
          <w:lang w:eastAsia="en-US"/>
        </w:rPr>
        <w:t xml:space="preserve">wystawianych </w:t>
      </w:r>
      <w:r w:rsidR="0047364C">
        <w:rPr>
          <w:lang w:eastAsia="en-US"/>
        </w:rPr>
        <w:t xml:space="preserve"> każdorazowo do danego zrealizowanego zamówienia. </w:t>
      </w:r>
      <w:r w:rsidR="004C11DC">
        <w:rPr>
          <w:lang w:eastAsia="en-US"/>
        </w:rPr>
        <w:t xml:space="preserve">Wraz z fakturą należy złożyć kopię (skan) dokumentu WZ stanowiącego podstawę jej wystawienia.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6CF898B6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złożenia faktury</w:t>
      </w:r>
      <w:r w:rsidR="00F83985" w:rsidRPr="00F83985">
        <w:rPr>
          <w:lang w:eastAsia="en-US"/>
        </w:rPr>
        <w:t xml:space="preserve"> </w:t>
      </w:r>
      <w:r w:rsidR="00A04EB5">
        <w:rPr>
          <w:lang w:eastAsia="en-US"/>
        </w:rPr>
        <w:t xml:space="preserve">wystawionej zgodnie z umową </w:t>
      </w:r>
      <w:r w:rsidR="00F83985">
        <w:rPr>
          <w:lang w:eastAsia="en-US"/>
        </w:rPr>
        <w:t>z rachunkiem bankowym Wykonawcy ujawnionym na białej liście podatników VAT</w:t>
      </w:r>
      <w:r>
        <w:rPr>
          <w:lang w:eastAsia="en-US"/>
        </w:rPr>
        <w:t xml:space="preserve">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6880F88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lastRenderedPageBreak/>
        <w:t xml:space="preserve">Wykonawca jest odpowiedzialny za </w:t>
      </w:r>
      <w:r w:rsidR="002F7DCE">
        <w:rPr>
          <w:lang w:eastAsia="en-US"/>
        </w:rPr>
        <w:t>jakość dostarczon</w:t>
      </w:r>
      <w:r w:rsidR="00CD2389">
        <w:rPr>
          <w:lang w:eastAsia="en-US"/>
        </w:rPr>
        <w:t xml:space="preserve">ych materiałów budowlanych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066C50B4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36 miesięcy od dnia zakończenia umowy wskazanego w pkt. 2.1. </w:t>
      </w:r>
    </w:p>
    <w:p w14:paraId="39A062C5" w14:textId="71038EA7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6A2650DF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co najmniej </w:t>
      </w:r>
      <w:r w:rsidR="00B966E7">
        <w:rPr>
          <w:lang w:eastAsia="en-US"/>
        </w:rPr>
        <w:t xml:space="preserve">dwukrotnego stwierdzenia dostarczenia wadliwego </w:t>
      </w:r>
      <w:r>
        <w:rPr>
          <w:lang w:eastAsia="en-US"/>
        </w:rPr>
        <w:t>materiału budowlanego</w:t>
      </w:r>
      <w:r w:rsidR="00B966E7">
        <w:rPr>
          <w:lang w:eastAsia="en-US"/>
        </w:rPr>
        <w:t xml:space="preserve">, </w:t>
      </w:r>
    </w:p>
    <w:p w14:paraId="1FF4CDE1" w14:textId="334D62BD" w:rsidR="00B966E7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 najmniej trzykrotnego opóźnienia z winy Wykonawcy w realizacji zamówień</w:t>
      </w:r>
      <w:r w:rsidR="00B966E7">
        <w:rPr>
          <w:lang w:eastAsia="en-US"/>
        </w:rPr>
        <w:t xml:space="preserve">, </w:t>
      </w:r>
    </w:p>
    <w:p w14:paraId="3AD1BEA2" w14:textId="2AAFBC49" w:rsidR="00EC1B3A" w:rsidRDefault="00EC1B3A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 xml:space="preserve">gdy opóźnienie z winy Wykonawcy w realizacji danego zamówienia trwa dłużej niż </w:t>
      </w:r>
      <w:r w:rsidR="002B1AFF">
        <w:rPr>
          <w:lang w:eastAsia="en-US"/>
        </w:rPr>
        <w:t>48 godzin.</w:t>
      </w:r>
    </w:p>
    <w:p w14:paraId="441472D8" w14:textId="79769B46" w:rsidR="003742BB" w:rsidRDefault="003742BB" w:rsidP="003742BB">
      <w:pPr>
        <w:pStyle w:val="poziom11"/>
        <w:rPr>
          <w:lang w:eastAsia="en-US"/>
        </w:rPr>
      </w:pPr>
      <w:r>
        <w:t xml:space="preserve">Strony mogą złożyć skuteczne oświadczenie o odstąpieniu od umowy w ciągu 14 dni od zaistnienia przesłanki do takiego odstąpienia. </w:t>
      </w:r>
    </w:p>
    <w:p w14:paraId="029396FC" w14:textId="12FB4B1A" w:rsidR="003742BB" w:rsidRDefault="002C1425" w:rsidP="00AB7421">
      <w:pPr>
        <w:pStyle w:val="poziom11"/>
        <w:rPr>
          <w:lang w:eastAsia="en-US"/>
        </w:rPr>
      </w:pPr>
      <w:r>
        <w:t>Odstąpienie może dotyczyć niezrealizowanej do dnia złożenia oświadczenia części przedmiotu umowy, tj. niezrealizowanych dostaw</w:t>
      </w:r>
      <w:r w:rsidR="002B1AFF">
        <w:t>, chyba że dostawy zrealizowane są wadliwe.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5A3FFCFB" w14:textId="4D913911" w:rsidR="002C1425" w:rsidRDefault="002C1425" w:rsidP="002C1425">
      <w:pPr>
        <w:pStyle w:val="poziom11"/>
        <w:numPr>
          <w:ilvl w:val="0"/>
          <w:numId w:val="18"/>
        </w:numPr>
      </w:pPr>
      <w:r w:rsidRPr="00565C38">
        <w:t xml:space="preserve">gwarancji i rękojmi </w:t>
      </w:r>
      <w:r>
        <w:t xml:space="preserve">dostaw </w:t>
      </w:r>
      <w:r w:rsidRPr="00565C38">
        <w:t>wykonanych do odstąpienia,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6760E0E6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920FF">
        <w:t>4.</w:t>
      </w:r>
    </w:p>
    <w:p w14:paraId="7EC5F0C6" w14:textId="77777777" w:rsidR="005F13D4" w:rsidRDefault="005F13D4" w:rsidP="005F13D4">
      <w:pPr>
        <w:pStyle w:val="poziom11"/>
      </w:pPr>
      <w:r>
        <w:t xml:space="preserve">Na podstawie przepisów art. 439 PZP określa się zasady zmiany wynagrodzenia w przypadku zmiany cen kosztów związanych z realizacją zamówienia (waloryzacja). </w:t>
      </w:r>
    </w:p>
    <w:p w14:paraId="0AB2CD60" w14:textId="54672950" w:rsidR="005F13D4" w:rsidRDefault="005F13D4" w:rsidP="005F13D4">
      <w:pPr>
        <w:pStyle w:val="poziom11"/>
      </w:pPr>
      <w:r>
        <w:lastRenderedPageBreak/>
        <w:t xml:space="preserve">Waloryzacji podlegać będą stawki wszystkich cen jednostkowych zawartych w ofercie.  </w:t>
      </w:r>
    </w:p>
    <w:p w14:paraId="087D8FA7" w14:textId="3AD26242" w:rsidR="005F13D4" w:rsidRDefault="005F13D4" w:rsidP="005F13D4">
      <w:pPr>
        <w:pStyle w:val="poziom11"/>
      </w:pPr>
      <w:r>
        <w:t>Waloryzacji dokonuje się w oparciu o wskaźnik inflacji wyliczony jako średnia arytmetyczną miesięcznych wskaźników cen towarów i usług konsumpcyjnych publikowanych przez GUS w okresie luty  – lipiec 2024r. (wskaźniki dla których poprzedni miesiąc = 100), jeżeli osiągnie ona wartość większą niż 110.</w:t>
      </w:r>
    </w:p>
    <w:p w14:paraId="53FCC0D9" w14:textId="6E65485E" w:rsidR="005F13D4" w:rsidRPr="005F13D4" w:rsidRDefault="005F13D4" w:rsidP="005F13D4">
      <w:pPr>
        <w:pStyle w:val="poziom11"/>
      </w:pPr>
      <w:r w:rsidRPr="005F13D4">
        <w:rPr>
          <w:shd w:val="clear" w:color="auto" w:fill="FFFFFF"/>
        </w:rPr>
        <w:t>Waloryzacja odnosić się będzie do dostaw realizowanych po 31.09.2024r.</w:t>
      </w:r>
    </w:p>
    <w:p w14:paraId="227F341A" w14:textId="77777777" w:rsidR="005F13D4" w:rsidRDefault="005F13D4" w:rsidP="005F13D4">
      <w:pPr>
        <w:pStyle w:val="poziom11"/>
      </w:pPr>
      <w:r>
        <w:t>Ustala się maksymalną wartość zmiany cen jednostkowych w wyniku waloryzacji na +/- 15% ich pierwotnej wartości netto.</w:t>
      </w:r>
    </w:p>
    <w:p w14:paraId="618CC8E1" w14:textId="77777777" w:rsidR="005F13D4" w:rsidRDefault="005F13D4" w:rsidP="005F13D4">
      <w:pPr>
        <w:spacing w:before="0" w:line="240" w:lineRule="auto"/>
        <w:ind w:left="720"/>
        <w:outlineLvl w:val="9"/>
      </w:pPr>
    </w:p>
    <w:p w14:paraId="319ED9CD" w14:textId="007394FE" w:rsidR="00A64BA5" w:rsidRDefault="00A64BA5" w:rsidP="006E0C08">
      <w:pPr>
        <w:pStyle w:val="Nagwek1"/>
      </w:pPr>
      <w:r>
        <w:t>skorzystanie z opcji</w:t>
      </w:r>
      <w:r w:rsidR="00751E20">
        <w:t xml:space="preserve"> </w:t>
      </w:r>
      <w:r w:rsidR="002B1AFF">
        <w:t>(Nie dotyczy)</w:t>
      </w:r>
    </w:p>
    <w:p w14:paraId="375A2864" w14:textId="1914D0FD" w:rsidR="006E0C08" w:rsidRDefault="00736042" w:rsidP="006E0C08">
      <w:pPr>
        <w:pStyle w:val="Nagwek1"/>
      </w:pPr>
      <w:r>
        <w:t>Weryfikacja obowiązku wykonawcy dotyczącego zatrudnienia pracowników</w:t>
      </w:r>
      <w:r w:rsidR="00751E20">
        <w:t xml:space="preserve"> (nie dotyczy)</w:t>
      </w:r>
    </w:p>
    <w:p w14:paraId="4D8C5F67" w14:textId="3BDD545A" w:rsidR="00A64BA5" w:rsidRDefault="00A64BA5" w:rsidP="00A64BA5">
      <w:pPr>
        <w:pStyle w:val="Nagwek1"/>
      </w:pPr>
      <w:r>
        <w:t>Podwykonawstwo</w:t>
      </w:r>
    </w:p>
    <w:p w14:paraId="4A98C2D8" w14:textId="333AED0F" w:rsidR="00496EDC" w:rsidRDefault="00496EDC" w:rsidP="00496EDC">
      <w:pPr>
        <w:pStyle w:val="poziom11"/>
        <w:rPr>
          <w:lang w:eastAsia="en-US"/>
        </w:rPr>
      </w:pPr>
      <w:r>
        <w:t xml:space="preserve">Wykonawca </w:t>
      </w:r>
      <w:r w:rsidR="00751E20">
        <w:t>może powierzyć wykonanie części przedmiotu umowy podwykonawcom</w:t>
      </w:r>
      <w:r>
        <w:t>.</w:t>
      </w:r>
    </w:p>
    <w:p w14:paraId="7F08B055" w14:textId="77777777" w:rsidR="00751E20" w:rsidRDefault="00751E20" w:rsidP="00496EDC">
      <w:pPr>
        <w:pStyle w:val="poziom11"/>
        <w:rPr>
          <w:lang w:eastAsia="en-US"/>
        </w:rPr>
      </w:pPr>
      <w:r>
        <w:t>Powierzenie wykonania części przedmiot umowy podwykonawcom nie zwalnia Wykonawcy z odpowiedzialności za należyte wykonanie umowy.</w:t>
      </w:r>
    </w:p>
    <w:p w14:paraId="76A52493" w14:textId="3966BCF6" w:rsidR="00751E20" w:rsidRDefault="00751E20" w:rsidP="00496EDC">
      <w:pPr>
        <w:pStyle w:val="poziom11"/>
        <w:rPr>
          <w:lang w:eastAsia="en-US"/>
        </w:rPr>
      </w:pPr>
      <w:r>
        <w:t xml:space="preserve">Zamawiający nie ponosi odpowiedzialności za zobowiązania Wykonawcy wobec podwykonawców. 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B282480" w:rsidR="00AD73E7" w:rsidRPr="002B1AFF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FF3E85" w:rsidRPr="00AD73E7">
        <w:rPr>
          <w:rFonts w:asciiTheme="minorHAnsi" w:hAnsiTheme="minorHAnsi" w:cstheme="minorHAnsi"/>
          <w:sz w:val="22"/>
          <w:szCs w:val="22"/>
        </w:rPr>
        <w:t>ą</w:t>
      </w:r>
      <w:r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rozpoczętą </w:t>
      </w:r>
      <w:r w:rsidR="002B1AFF">
        <w:rPr>
          <w:rFonts w:asciiTheme="minorHAnsi" w:hAnsiTheme="minorHAnsi" w:cstheme="minorHAnsi"/>
          <w:sz w:val="22"/>
          <w:szCs w:val="22"/>
        </w:rPr>
        <w:t>dobę opóźnienia z winy Wykonawcy w zrealizowaniu zamówienia – 100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>, łącznie nie więcej niż 500 zł odnośnie każdego takiego przypadku,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42AEC053" w14:textId="6985D3CB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za odstąpienie od umowy z winy Wykonawcy – 1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5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3.3.a)</w:t>
      </w:r>
    </w:p>
    <w:p w14:paraId="2381AAD5" w14:textId="57C12B7E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317115">
        <w:rPr>
          <w:rFonts w:asciiTheme="minorHAnsi" w:hAnsiTheme="minorHAnsi" w:cstheme="minorHAnsi"/>
          <w:sz w:val="22"/>
          <w:szCs w:val="22"/>
        </w:rPr>
        <w:t xml:space="preserve">20%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>kwoty brutto opisanej w pkt. 3.3.a)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lastRenderedPageBreak/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39B149C8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852901" w:rsidRPr="001145F3">
          <w:rPr>
            <w:rStyle w:val="Hipercze"/>
          </w:rPr>
          <w:t>milowice@mzum.katowice.pl</w:t>
        </w:r>
      </w:hyperlink>
      <w:r w:rsidR="00852901">
        <w:t xml:space="preserve">, </w:t>
      </w:r>
      <w:r w:rsidR="00F03FA6">
        <w:t>agrodzinska</w:t>
      </w:r>
      <w:r w:rsidR="00852901">
        <w:t>@mzum.katowice.pl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Podpis: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  <w:tr w:rsidR="009C2B9D" w:rsidRPr="00C8175F" w14:paraId="2766D2AD" w14:textId="77777777" w:rsidTr="000C067F">
        <w:trPr>
          <w:trHeight w:val="299"/>
        </w:trPr>
        <w:tc>
          <w:tcPr>
            <w:tcW w:w="1839" w:type="dxa"/>
            <w:vAlign w:val="bottom"/>
          </w:tcPr>
          <w:p w14:paraId="4AA3468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545" w:type="dxa"/>
            <w:vAlign w:val="bottom"/>
          </w:tcPr>
          <w:p w14:paraId="74D51BB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  <w:tc>
          <w:tcPr>
            <w:tcW w:w="1853" w:type="dxa"/>
          </w:tcPr>
          <w:p w14:paraId="2E94BBD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eastAsia="SimSun" w:cs="Calibri"/>
                <w:sz w:val="18"/>
                <w:szCs w:val="18"/>
              </w:rPr>
              <w:t>Imię i nazwisko:</w:t>
            </w:r>
          </w:p>
        </w:tc>
        <w:tc>
          <w:tcPr>
            <w:tcW w:w="2976" w:type="dxa"/>
            <w:vAlign w:val="bottom"/>
          </w:tcPr>
          <w:p w14:paraId="1AF796F4" w14:textId="77777777" w:rsidR="009C2B9D" w:rsidRPr="00C8175F" w:rsidRDefault="009C2B9D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r w:rsidRPr="00C8175F">
              <w:rPr>
                <w:rFonts w:cs="Calibri"/>
                <w:sz w:val="18"/>
                <w:szCs w:val="18"/>
              </w:rPr>
              <w:t>[___]</w:t>
            </w: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3497C" w14:textId="77777777" w:rsidR="00930930" w:rsidRDefault="00930930" w:rsidP="009C2B9D">
      <w:pPr>
        <w:spacing w:before="0" w:after="0" w:line="240" w:lineRule="auto"/>
      </w:pPr>
      <w:r>
        <w:separator/>
      </w:r>
    </w:p>
  </w:endnote>
  <w:endnote w:type="continuationSeparator" w:id="0">
    <w:p w14:paraId="57D97A7A" w14:textId="77777777" w:rsidR="00930930" w:rsidRDefault="00930930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5F13D4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423019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423019">
      <w:rPr>
        <w:rFonts w:ascii="Calibri" w:hAnsi="Calibri"/>
        <w:bCs/>
        <w:noProof/>
        <w:sz w:val="20"/>
        <w:szCs w:val="20"/>
      </w:rPr>
      <w:t>5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5F13D4" w:rsidRDefault="005F13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7B59" w14:textId="77777777" w:rsidR="00930930" w:rsidRDefault="00930930" w:rsidP="009C2B9D">
      <w:pPr>
        <w:spacing w:before="0" w:after="0" w:line="240" w:lineRule="auto"/>
      </w:pPr>
      <w:r>
        <w:separator/>
      </w:r>
    </w:p>
  </w:footnote>
  <w:footnote w:type="continuationSeparator" w:id="0">
    <w:p w14:paraId="31BDB41A" w14:textId="77777777" w:rsidR="00930930" w:rsidRDefault="00930930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5F13D4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MZUiM Katowice; ......................................</w:t>
    </w:r>
  </w:p>
  <w:p w14:paraId="7EECC7BC" w14:textId="77777777" w:rsidR="005F13D4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8A4"/>
    <w:rsid w:val="0027627D"/>
    <w:rsid w:val="002802F1"/>
    <w:rsid w:val="00285840"/>
    <w:rsid w:val="002B12E3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55F68"/>
    <w:rsid w:val="00361E82"/>
    <w:rsid w:val="003742BB"/>
    <w:rsid w:val="003760AD"/>
    <w:rsid w:val="003A1B76"/>
    <w:rsid w:val="003A2A2C"/>
    <w:rsid w:val="003A7B77"/>
    <w:rsid w:val="003B20C8"/>
    <w:rsid w:val="003B22BD"/>
    <w:rsid w:val="003C2E96"/>
    <w:rsid w:val="003C4B68"/>
    <w:rsid w:val="003E22AE"/>
    <w:rsid w:val="003F663B"/>
    <w:rsid w:val="004163B8"/>
    <w:rsid w:val="00423019"/>
    <w:rsid w:val="00426C59"/>
    <w:rsid w:val="004321FE"/>
    <w:rsid w:val="0044109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13D4"/>
    <w:rsid w:val="005F76A3"/>
    <w:rsid w:val="006002B6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E0C08"/>
    <w:rsid w:val="006F2A66"/>
    <w:rsid w:val="00722586"/>
    <w:rsid w:val="00732518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3165A"/>
    <w:rsid w:val="00833CE3"/>
    <w:rsid w:val="008373E3"/>
    <w:rsid w:val="00852901"/>
    <w:rsid w:val="00870E07"/>
    <w:rsid w:val="00870EC5"/>
    <w:rsid w:val="008712CC"/>
    <w:rsid w:val="008744B7"/>
    <w:rsid w:val="00875AB0"/>
    <w:rsid w:val="0088645A"/>
    <w:rsid w:val="0089433E"/>
    <w:rsid w:val="008C1A92"/>
    <w:rsid w:val="008C6275"/>
    <w:rsid w:val="008C7A9F"/>
    <w:rsid w:val="008D56CC"/>
    <w:rsid w:val="00903D55"/>
    <w:rsid w:val="00905D4E"/>
    <w:rsid w:val="00923731"/>
    <w:rsid w:val="009266A7"/>
    <w:rsid w:val="00930930"/>
    <w:rsid w:val="00937B0E"/>
    <w:rsid w:val="00940377"/>
    <w:rsid w:val="009417BB"/>
    <w:rsid w:val="0095465F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D95"/>
    <w:rsid w:val="00B42CA3"/>
    <w:rsid w:val="00B5078B"/>
    <w:rsid w:val="00B5598D"/>
    <w:rsid w:val="00B77D5B"/>
    <w:rsid w:val="00B966E7"/>
    <w:rsid w:val="00BA46E1"/>
    <w:rsid w:val="00BD3AA8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2389"/>
    <w:rsid w:val="00CD5D87"/>
    <w:rsid w:val="00CE4258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E2B19"/>
    <w:rsid w:val="00DF1651"/>
    <w:rsid w:val="00DF3386"/>
    <w:rsid w:val="00DF488E"/>
    <w:rsid w:val="00DF64DC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119B"/>
    <w:rsid w:val="00E83347"/>
    <w:rsid w:val="00EA185C"/>
    <w:rsid w:val="00EB50E5"/>
    <w:rsid w:val="00EC1B3A"/>
    <w:rsid w:val="00ED1028"/>
    <w:rsid w:val="00EF1D41"/>
    <w:rsid w:val="00F016F4"/>
    <w:rsid w:val="00F03389"/>
    <w:rsid w:val="00F03FA6"/>
    <w:rsid w:val="00F11FEF"/>
    <w:rsid w:val="00F22248"/>
    <w:rsid w:val="00F3534F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1510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3</cp:revision>
  <dcterms:created xsi:type="dcterms:W3CDTF">2024-02-26T12:24:00Z</dcterms:created>
  <dcterms:modified xsi:type="dcterms:W3CDTF">2024-02-26T12:27:00Z</dcterms:modified>
</cp:coreProperties>
</file>