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4012D" w14:textId="77777777" w:rsidR="00017E47" w:rsidRDefault="00017E47" w:rsidP="00017E47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510DC1A3" w14:textId="77777777" w:rsidR="00017E47" w:rsidRDefault="00017E47" w:rsidP="00017E4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PRZEDMIOTU ZAMÓWIENIA</w:t>
      </w:r>
    </w:p>
    <w:p w14:paraId="17CA5D17" w14:textId="77777777" w:rsidR="00017E47" w:rsidRDefault="00017E47" w:rsidP="00017E47">
      <w:pPr>
        <w:tabs>
          <w:tab w:val="center" w:pos="4536"/>
          <w:tab w:val="right" w:pos="9072"/>
        </w:tabs>
        <w:spacing w:after="0"/>
        <w:rPr>
          <w:rFonts w:cstheme="minorHAnsi"/>
          <w:b/>
          <w:i/>
        </w:rPr>
      </w:pPr>
      <w:bookmarkStart w:id="0" w:name="_Hlk64525169"/>
      <w:r>
        <w:rPr>
          <w:rFonts w:cstheme="minorHAnsi"/>
          <w:b/>
          <w:i/>
        </w:rPr>
        <w:t>„Remont dachów papowych budynków położonych na placówkach ZWiK Sp. z o.o. w Szczecinie”</w:t>
      </w:r>
    </w:p>
    <w:p w14:paraId="4961EAC9" w14:textId="77777777" w:rsidR="00017E47" w:rsidRDefault="00017E47" w:rsidP="00017E47">
      <w:pPr>
        <w:tabs>
          <w:tab w:val="center" w:pos="4536"/>
          <w:tab w:val="right" w:pos="9072"/>
        </w:tabs>
        <w:spacing w:after="0"/>
        <w:rPr>
          <w:rFonts w:cstheme="minorHAnsi"/>
          <w:b/>
          <w:i/>
        </w:rPr>
      </w:pPr>
    </w:p>
    <w:bookmarkEnd w:id="0"/>
    <w:p w14:paraId="4C78FA09" w14:textId="77777777" w:rsidR="00017E47" w:rsidRDefault="00017E47" w:rsidP="00017E47">
      <w:pPr>
        <w:pStyle w:val="Akapitzlist"/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cstheme="minorHAnsi"/>
          <w:b/>
        </w:rPr>
      </w:pPr>
      <w:r>
        <w:rPr>
          <w:rFonts w:cstheme="minorHAnsi"/>
          <w:b/>
        </w:rPr>
        <w:t>Wstęp</w:t>
      </w:r>
    </w:p>
    <w:p w14:paraId="581CFD04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dachach budynków objętych remontem stwierdzono liczne przecieki, głównie w miejscach przejść instalacji wentylacji, cześć obróbek blacharskich nosi znamiona rdzy. Remonty dachów wykonano około 15 lat temu. Możliwą przyczyną przecieków przez pokrycie dachowe mogło wystąpić przez zastosowanie papy wierzchniego krycia o niskim parametrze giętkości, długotrwałe podgrzewanie papy mogło zniszczyć strukturę wewnętrzną bitumu i kauczuku, powstanie pęknięć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w przekroju papy pod wpływem wielkokrotnych cyklów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zamarżania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/odmrażania.</w:t>
      </w:r>
    </w:p>
    <w:p w14:paraId="6B2362CF" w14:textId="77777777" w:rsidR="00017E47" w:rsidRDefault="00017E47" w:rsidP="00017E47">
      <w:pPr>
        <w:pStyle w:val="Akapitzlist"/>
        <w:spacing w:line="240" w:lineRule="auto"/>
        <w:ind w:left="426"/>
        <w:jc w:val="both"/>
        <w:rPr>
          <w:rFonts w:cstheme="minorHAnsi"/>
          <w:b/>
        </w:rPr>
      </w:pPr>
    </w:p>
    <w:p w14:paraId="47928FAB" w14:textId="77777777" w:rsidR="00017E47" w:rsidRDefault="00017E47" w:rsidP="00017E47">
      <w:pPr>
        <w:pStyle w:val="Akapitzlist"/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cstheme="minorHAnsi"/>
          <w:b/>
        </w:rPr>
      </w:pPr>
      <w:r>
        <w:rPr>
          <w:rFonts w:cstheme="minorHAnsi"/>
          <w:b/>
        </w:rPr>
        <w:t>Przedmiot zamówienia</w:t>
      </w:r>
    </w:p>
    <w:p w14:paraId="5C9E5F52" w14:textId="77777777" w:rsidR="00017E47" w:rsidRDefault="00017E47" w:rsidP="00017E47">
      <w:pPr>
        <w:spacing w:after="0"/>
        <w:ind w:firstLine="426"/>
        <w:jc w:val="both"/>
        <w:rPr>
          <w:rFonts w:cstheme="minorHAnsi"/>
        </w:rPr>
      </w:pPr>
      <w:r>
        <w:rPr>
          <w:rFonts w:cstheme="minorHAnsi"/>
        </w:rPr>
        <w:t xml:space="preserve">Przedmiotem zamówienia są remonty pokryć dachowych na 3 budynkach oraz miejscowa naprawa systemu rynnowego budynku biurowo - socjalnego. </w:t>
      </w:r>
    </w:p>
    <w:p w14:paraId="42BBC294" w14:textId="77777777" w:rsidR="00017E47" w:rsidRDefault="00017E47" w:rsidP="00017E4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Obiekty zlokalizowane są w Szczecinie przy ul. Tama Pomorzańska 8, ul. Białowieska 7, </w:t>
      </w:r>
      <w:r>
        <w:rPr>
          <w:rFonts w:cstheme="minorHAnsi"/>
          <w:color w:val="000000" w:themeColor="text1"/>
        </w:rPr>
        <w:t xml:space="preserve">ul. 1 maja 37, </w:t>
      </w:r>
      <w:r>
        <w:rPr>
          <w:rFonts w:cstheme="minorHAnsi"/>
          <w:color w:val="FF0000"/>
        </w:rPr>
        <w:br/>
      </w:r>
    </w:p>
    <w:p w14:paraId="38246FEC" w14:textId="77777777" w:rsidR="00017E47" w:rsidRDefault="00017E47" w:rsidP="00017E47">
      <w:pPr>
        <w:pStyle w:val="Akapitzlist"/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cstheme="minorHAnsi"/>
          <w:b/>
        </w:rPr>
      </w:pPr>
      <w:r>
        <w:rPr>
          <w:rFonts w:cstheme="minorHAnsi"/>
          <w:b/>
        </w:rPr>
        <w:t>Zakres zamówienia</w:t>
      </w:r>
    </w:p>
    <w:p w14:paraId="68E68780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430"/>
        <w:jc w:val="both"/>
        <w:rPr>
          <w:rFonts w:cstheme="minorHAnsi"/>
        </w:rPr>
      </w:pPr>
      <w:r>
        <w:rPr>
          <w:rFonts w:cstheme="minorHAnsi"/>
        </w:rPr>
        <w:t>Remont dachu: Budynek Stacji Krat Oczyszczalnia ścieków „Pomorzany”:</w:t>
      </w:r>
    </w:p>
    <w:p w14:paraId="6EE92060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Demontaż instalacji odgromowej i montaż nowej,</w:t>
      </w:r>
    </w:p>
    <w:p w14:paraId="008BEBC7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Demontaż obróbek blacharskich - attyka, obróbka przyścienna,</w:t>
      </w:r>
    </w:p>
    <w:p w14:paraId="12E0F029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Pokrycie dachu jednokrotną warstwą papy nawierzchniowej: </w:t>
      </w:r>
    </w:p>
    <w:p w14:paraId="5A6A1795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ok 350 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(wyższa cześć), </w:t>
      </w:r>
    </w:p>
    <w:p w14:paraId="3317876F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Remont części dachu z centralą wentylacyjną N1 -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ok. 25 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(niższa część)</w:t>
      </w:r>
    </w:p>
    <w:p w14:paraId="28B37675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demontaż centrali i kanałów wentylacyjnych na czas remontu dachu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07D424C6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 zabezpieczenie konstrukcji nośnej centrali,</w:t>
      </w:r>
    </w:p>
    <w:p w14:paraId="7093713B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 zerwanie istniejących warstw papy wraz z obróbkami blacharskimi,</w:t>
      </w:r>
    </w:p>
    <w:p w14:paraId="636BD234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wykonanie pokrycia dachu: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paroziolacja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styropian gr. 15 cm, papa podkładowa, papa nawierzchniowa,</w:t>
      </w:r>
    </w:p>
    <w:p w14:paraId="3A6BF2C7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 ponowny montaż Centrali N1, kanałów wentylacyjnych wraz z podłączeniem oraz  wykonaniem niezbędnych badań,</w:t>
      </w:r>
    </w:p>
    <w:p w14:paraId="5A4D869F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Uszczelnienie przejść w dachu: </w:t>
      </w:r>
    </w:p>
    <w:p w14:paraId="6B3262CB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wentylatory dachowe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250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</w:p>
    <w:p w14:paraId="0704E835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wentylatory dachowe WS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380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624CE071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wentylatory dachowe W1 chemoodporny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630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4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3A4B28D1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wywietrzaki dachowe grawitacyjne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700 mm (opcjonalnie wymiana)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6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7069A4A0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wpust dachowy podgrzewany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150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2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1FDD9200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wpust dachowy podgrzewany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100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2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1236D7DB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przelew 20x10cm (ściana attyki)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3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</w:p>
    <w:p w14:paraId="5D039578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Montaż obróbek blacharskich:</w:t>
      </w:r>
    </w:p>
    <w:p w14:paraId="6D89FD2D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montaż obróbek blacharskich o szerokości  powyżej 35 cm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ok. 93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mb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61C2865B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montaż obróbki przyściennej (utrudnione dojście przez centrale N1)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ok. 9,5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mb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7EA9372F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430"/>
        <w:jc w:val="both"/>
        <w:rPr>
          <w:rFonts w:cstheme="minorHAnsi"/>
        </w:rPr>
      </w:pPr>
      <w:r>
        <w:rPr>
          <w:rFonts w:cstheme="minorHAnsi"/>
        </w:rPr>
        <w:t xml:space="preserve">Remont dachu: Budynek Dmuchaw Oczyszczalnia ścieków „Pomorzany”, </w:t>
      </w:r>
    </w:p>
    <w:p w14:paraId="3CB6F605" w14:textId="77777777" w:rsidR="00017E47" w:rsidRDefault="00017E47" w:rsidP="00017E4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Demontaż instalacji odgromowej i montaż nowej,</w:t>
      </w:r>
    </w:p>
    <w:p w14:paraId="5208DFAD" w14:textId="77777777" w:rsidR="00017E47" w:rsidRDefault="00017E47" w:rsidP="00017E4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Demontaż obróbek blacharskich - attyka, obróbka przyścienna,</w:t>
      </w:r>
    </w:p>
    <w:p w14:paraId="3979E317" w14:textId="77777777" w:rsidR="00017E47" w:rsidRDefault="00017E47" w:rsidP="00017E4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Pokrycie dachu jednokrotną warstwą papy nawierzchniowej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ok 130 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</w:p>
    <w:p w14:paraId="1409AAC5" w14:textId="77777777" w:rsidR="00017E47" w:rsidRDefault="00017E47" w:rsidP="00017E4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Uszczelnienie przejść w dachu: </w:t>
      </w:r>
    </w:p>
    <w:p w14:paraId="51E910FF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wentylatory dachowe W2E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315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753DE0C6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wentylatory dachowe W2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400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2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61E4F979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wyrzutnie dachowe z obudowanymi dźwiękochłonnymi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500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4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28438661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wpust dachowy podgrzewany </w:t>
      </w:r>
      <w:r>
        <w:rPr>
          <w:rFonts w:ascii="Cambria Math" w:hAnsi="Cambria Math" w:cs="Cambria Math"/>
          <w:color w:val="000000" w:themeColor="text1"/>
          <w:sz w:val="22"/>
          <w:szCs w:val="22"/>
          <w:bdr w:val="none" w:sz="0" w:space="0" w:color="auto" w:frame="1"/>
        </w:rPr>
        <w:t>∅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110 mm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2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4186EE89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przelew 20x10cm (ściana attyki)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</w:p>
    <w:p w14:paraId="7079D98E" w14:textId="77777777" w:rsidR="00017E47" w:rsidRDefault="00017E47" w:rsidP="00017E4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Montaż obróbek blacharskich:</w:t>
      </w:r>
    </w:p>
    <w:p w14:paraId="0D9C09FC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montaż obróbek blacharskich o szerokości  powyżej 35 cm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ok. 50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mb</w:t>
      </w:r>
      <w:proofErr w:type="spellEnd"/>
    </w:p>
    <w:p w14:paraId="3637C384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 montaż obróbki przyściennej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ok. 50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mb</w:t>
      </w:r>
      <w:proofErr w:type="spellEnd"/>
    </w:p>
    <w:p w14:paraId="145476EC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430"/>
        <w:jc w:val="both"/>
        <w:rPr>
          <w:rFonts w:cstheme="minorHAnsi"/>
        </w:rPr>
      </w:pPr>
      <w:r>
        <w:rPr>
          <w:rFonts w:cstheme="minorHAnsi"/>
        </w:rPr>
        <w:t>Remont dachu: Budynek stacji transformatorowej z częścią socjalno-sanitarną „Białowieska” II Rejon WGS,</w:t>
      </w:r>
    </w:p>
    <w:p w14:paraId="0762F8A8" w14:textId="77777777" w:rsidR="00017E47" w:rsidRDefault="00017E47" w:rsidP="00017E4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Demontaż instalacji odgromowej i montaż nowej,</w:t>
      </w:r>
    </w:p>
    <w:p w14:paraId="7AE9EBFE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Demontaż obróbek blacharskich - attyka, obróbka przyścienna, 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rynny, rury spustowe, pas nadrynnowy,</w:t>
      </w:r>
    </w:p>
    <w:p w14:paraId="7B0F5A7E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Pokrycie dachu jedną warstwą papy nawierzchniowej 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ok 210 m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170F9148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Uszczelnienie przejść w dachu: </w:t>
      </w:r>
    </w:p>
    <w:p w14:paraId="4B453439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wywietrzaki dachowe typ A-160 (opcjonalna wymiana)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10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38F149F8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podstawa dachowa typu B/II-160 (opcjonalnie wymiana)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10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szt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1BAF9214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Montaż obróbek blacharskich:</w:t>
      </w:r>
    </w:p>
    <w:p w14:paraId="3983BAB8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montaż rynien fi150 -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ok. 41mb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0D9EFA31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montaż rur spustowych fi120 -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ok. 25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mb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26F0D902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montaż pasa nadrynnowego do 25cm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ok.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20mb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</w:p>
    <w:p w14:paraId="00C1E5D7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montaż obróbek blacharskich do 35 cm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ok. 24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mb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299B20DB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- montaż obróbek blacharskich powyżej 35 cm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ok. 20mb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</w:p>
    <w:p w14:paraId="3F482A6E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Wykonanie i montaż drabiny drabin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szt</w:t>
      </w:r>
      <w:proofErr w:type="spellEnd"/>
    </w:p>
    <w:p w14:paraId="4E909E21" w14:textId="77777777" w:rsidR="00017E47" w:rsidRDefault="00017E47" w:rsidP="00017E4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Wymiana pokrycia daszków wraz z obróbkami blacharskimi: </w:t>
      </w:r>
    </w:p>
    <w:p w14:paraId="1D0F4A2E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2.22x1.20 m - </w:t>
      </w:r>
      <w:r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>1szt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, </w:t>
      </w:r>
    </w:p>
    <w:p w14:paraId="6E9D99A7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43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Remont dachu: Budynek socjalno-biurowy I Rejon WGS.</w:t>
      </w:r>
    </w:p>
    <w:p w14:paraId="2F1C9ECB" w14:textId="77777777" w:rsidR="00017E47" w:rsidRDefault="00017E47" w:rsidP="00017E47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Miejscowa naprawa systemu rynnowego:</w:t>
      </w:r>
    </w:p>
    <w:p w14:paraId="7804A6C9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 wymiana 2m odcinka rynny,</w:t>
      </w:r>
    </w:p>
    <w:p w14:paraId="657F7370" w14:textId="77777777" w:rsidR="00017E47" w:rsidRDefault="00017E47" w:rsidP="00017E47">
      <w:pPr>
        <w:pStyle w:val="Normalny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 dostawa i montaż: leja spustowego, kolana, odcinka rury spustowej,</w:t>
      </w:r>
    </w:p>
    <w:p w14:paraId="657C8ACB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43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Sporządzenie przedmiaru robót.</w:t>
      </w:r>
    </w:p>
    <w:p w14:paraId="75E5784B" w14:textId="77777777" w:rsidR="00017E47" w:rsidRDefault="00017E47" w:rsidP="00017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992" w:hanging="43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Opracowanie kosztorysów ofertowych zgodne z rozporządzeniem Ministra Infrastruktury </w:t>
      </w:r>
      <w:r>
        <w:rPr>
          <w:rFonts w:cstheme="minorHAnsi"/>
          <w:color w:val="000000" w:themeColor="text1"/>
        </w:rPr>
        <w:br/>
        <w:t xml:space="preserve">z dnia 18.05.2004 r. w sprawie określenia metod i podstaw sporządzania kosztorysu inwestorskiego, obliczania planowanych kosztów prac projektowych oraz planowanych kosztów robót budowlanych określonych w programie funkcjonalno-użytkowym </w:t>
      </w:r>
      <w:r>
        <w:rPr>
          <w:rFonts w:cstheme="minorHAnsi"/>
          <w:color w:val="000000" w:themeColor="text1"/>
        </w:rPr>
        <w:br/>
        <w:t>(Dz. U. z 2004 r., Nr 130, poz. 1389).</w:t>
      </w:r>
    </w:p>
    <w:p w14:paraId="7F44BA52" w14:textId="77777777" w:rsidR="00017E47" w:rsidRDefault="00017E47" w:rsidP="00017E47">
      <w:pPr>
        <w:autoSpaceDE w:val="0"/>
        <w:autoSpaceDN w:val="0"/>
        <w:adjustRightInd w:val="0"/>
        <w:spacing w:after="12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W celu dokładnego określenia zakresu robót zalecane jest dokonanie wizji lokalnej przyszłego terenu budowy, dokonanie pomiarów i opracowanie kosztorysu ofertowego celem uwzględnienia wszystkich składników wpływających na ostateczną cenę oferty. Wykonawca, który nie przeprowadzi wizji lokalnej, a zostanie wybrany do realizacji zamówienia nie będzie mógł zgłaszać żadnych roszczeń wynikających z ewentualnego niewłaściwego określenia zakresu prac i ceny oferty. </w:t>
      </w:r>
    </w:p>
    <w:p w14:paraId="0AACDD58" w14:textId="77777777" w:rsidR="00017E47" w:rsidRDefault="00017E47" w:rsidP="00017E47">
      <w:pPr>
        <w:autoSpaceDE w:val="0"/>
        <w:autoSpaceDN w:val="0"/>
        <w:adjustRightInd w:val="0"/>
        <w:spacing w:after="120" w:line="256" w:lineRule="auto"/>
        <w:jc w:val="both"/>
        <w:rPr>
          <w:rFonts w:cstheme="minorHAnsi"/>
        </w:rPr>
      </w:pPr>
      <w:r>
        <w:rPr>
          <w:rFonts w:cstheme="minorHAnsi"/>
        </w:rPr>
        <w:t>Zamawiający posiada w zasobach archiwalnych dokumentację istniejących budynków.</w:t>
      </w:r>
    </w:p>
    <w:p w14:paraId="24B42EB2" w14:textId="77777777" w:rsidR="00017E47" w:rsidRDefault="00017E47" w:rsidP="00017E4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Osobą do kontaktu w tej sprawie jest:</w:t>
      </w:r>
    </w:p>
    <w:p w14:paraId="2F701F35" w14:textId="77777777" w:rsidR="00017E47" w:rsidRDefault="00017E47" w:rsidP="00017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Piotr </w:t>
      </w:r>
      <w:proofErr w:type="spellStart"/>
      <w:r>
        <w:rPr>
          <w:rFonts w:cstheme="minorHAnsi"/>
        </w:rPr>
        <w:t>Miakoto</w:t>
      </w:r>
      <w:proofErr w:type="spellEnd"/>
      <w:r>
        <w:rPr>
          <w:rFonts w:cstheme="minorHAnsi"/>
        </w:rPr>
        <w:t xml:space="preserve"> - kierownik OŚ „Pomorzany”, ul. Tama Pomorzańska 8 - tel. 91 43 50 024</w:t>
      </w:r>
    </w:p>
    <w:p w14:paraId="7B6A0519" w14:textId="77777777" w:rsidR="00017E47" w:rsidRDefault="00017E47" w:rsidP="00017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Błażej Kołacz - P. O. Kierownik WGS R. II ul. Białowieska 7 - tel. 91 48 21 181</w:t>
      </w:r>
    </w:p>
    <w:p w14:paraId="2D528FE9" w14:textId="77777777" w:rsidR="00017E47" w:rsidRDefault="00017E47" w:rsidP="00017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Arnold  </w:t>
      </w:r>
      <w:proofErr w:type="spellStart"/>
      <w:r>
        <w:rPr>
          <w:rFonts w:cstheme="minorHAnsi"/>
        </w:rPr>
        <w:t>Rode</w:t>
      </w:r>
      <w:proofErr w:type="spellEnd"/>
      <w:r>
        <w:rPr>
          <w:rFonts w:cstheme="minorHAnsi"/>
        </w:rPr>
        <w:t xml:space="preserve"> - Kierownik WGS R. I, ul. 1 Maja 37 - tel. 91 44 26 339</w:t>
      </w:r>
    </w:p>
    <w:p w14:paraId="5367B2FD" w14:textId="77777777" w:rsidR="00017E47" w:rsidRDefault="00017E47" w:rsidP="00017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Eryk Witek - przedstawiciel Zamawiającego, ul. </w:t>
      </w:r>
      <w:proofErr w:type="spellStart"/>
      <w:r>
        <w:rPr>
          <w:rFonts w:cstheme="minorHAnsi"/>
        </w:rPr>
        <w:t>Golisza</w:t>
      </w:r>
      <w:proofErr w:type="spellEnd"/>
      <w:r>
        <w:rPr>
          <w:rFonts w:cstheme="minorHAnsi"/>
        </w:rPr>
        <w:t xml:space="preserve"> 10 - tel. 695 150 263</w:t>
      </w:r>
    </w:p>
    <w:p w14:paraId="4C4A697A" w14:textId="77777777" w:rsidR="00017E47" w:rsidRDefault="00017E47" w:rsidP="00017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BD57CB" w14:textId="77777777" w:rsidR="00017E47" w:rsidRDefault="00017E47" w:rsidP="00017E47">
      <w:pPr>
        <w:pStyle w:val="Akapitzlist"/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cstheme="minorHAnsi"/>
          <w:b/>
        </w:rPr>
      </w:pPr>
      <w:r>
        <w:rPr>
          <w:rFonts w:cstheme="minorHAnsi"/>
          <w:b/>
        </w:rPr>
        <w:t>Parametry techniczne materiałów</w:t>
      </w:r>
    </w:p>
    <w:p w14:paraId="43DDE4DB" w14:textId="77777777" w:rsidR="00017E47" w:rsidRDefault="00017E47" w:rsidP="00017E4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Parametry techniczne do zastosowania materiałów:</w:t>
      </w:r>
    </w:p>
    <w:p w14:paraId="32A184CB" w14:textId="77777777" w:rsidR="00017E47" w:rsidRDefault="00017E47" w:rsidP="00017E47">
      <w:pPr>
        <w:numPr>
          <w:ilvl w:val="0"/>
          <w:numId w:val="16"/>
        </w:numPr>
        <w:spacing w:after="0" w:line="240" w:lineRule="auto"/>
      </w:pPr>
      <w:r>
        <w:t>papa  podkładowa, aktywowana termicznie:</w:t>
      </w:r>
    </w:p>
    <w:p w14:paraId="79703469" w14:textId="77777777" w:rsidR="00017E47" w:rsidRDefault="00017E47" w:rsidP="00017E47">
      <w:pPr>
        <w:pStyle w:val="Akapitzlist"/>
        <w:numPr>
          <w:ilvl w:val="0"/>
          <w:numId w:val="17"/>
        </w:numPr>
        <w:spacing w:after="0" w:line="240" w:lineRule="auto"/>
        <w:ind w:left="1701" w:hanging="283"/>
      </w:pPr>
      <w:r>
        <w:t xml:space="preserve">grubość [mm]: </w:t>
      </w:r>
      <w:r>
        <w:rPr>
          <w:rFonts w:cstheme="minorHAnsi"/>
        </w:rPr>
        <w:t>≥</w:t>
      </w:r>
      <w:r>
        <w:t xml:space="preserve"> 2,5</w:t>
      </w:r>
    </w:p>
    <w:p w14:paraId="6097AA16" w14:textId="77777777" w:rsidR="00017E47" w:rsidRDefault="00017E47" w:rsidP="00017E47">
      <w:pPr>
        <w:pStyle w:val="Akapitzlist"/>
        <w:numPr>
          <w:ilvl w:val="0"/>
          <w:numId w:val="17"/>
        </w:numPr>
        <w:spacing w:after="0" w:line="240" w:lineRule="auto"/>
        <w:ind w:left="1701" w:hanging="283"/>
      </w:pPr>
      <w:r>
        <w:t xml:space="preserve">wodoszczelność: </w:t>
      </w:r>
      <w:r>
        <w:rPr>
          <w:rFonts w:cstheme="minorHAnsi"/>
        </w:rPr>
        <w:t>≥</w:t>
      </w:r>
      <w:r>
        <w:t xml:space="preserve"> 200 </w:t>
      </w:r>
      <w:proofErr w:type="spellStart"/>
      <w:r>
        <w:t>kPa</w:t>
      </w:r>
      <w:proofErr w:type="spellEnd"/>
    </w:p>
    <w:p w14:paraId="3564F744" w14:textId="77777777" w:rsidR="00017E47" w:rsidRDefault="00017E47" w:rsidP="00017E47">
      <w:pPr>
        <w:pStyle w:val="Akapitzlist"/>
        <w:numPr>
          <w:ilvl w:val="0"/>
          <w:numId w:val="17"/>
        </w:numPr>
        <w:spacing w:after="0" w:line="240" w:lineRule="auto"/>
        <w:ind w:left="1701" w:hanging="283"/>
      </w:pPr>
      <w:r>
        <w:t>wkładka nośna z włókniny poliestrowej</w:t>
      </w:r>
    </w:p>
    <w:p w14:paraId="7D6ECD68" w14:textId="77777777" w:rsidR="00017E47" w:rsidRDefault="00017E47" w:rsidP="00017E47">
      <w:pPr>
        <w:pStyle w:val="Akapitzlist"/>
        <w:numPr>
          <w:ilvl w:val="0"/>
          <w:numId w:val="17"/>
        </w:numPr>
        <w:spacing w:after="0" w:line="240" w:lineRule="auto"/>
        <w:ind w:left="1701" w:hanging="283"/>
      </w:pPr>
      <w:r>
        <w:t>właściwości mechaniczne przy rozciąganiu [N/50 mm]: maksymalna siła rozciągająca</w:t>
      </w:r>
    </w:p>
    <w:p w14:paraId="1ECB0997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wzdłuż </w:t>
      </w:r>
      <w:r>
        <w:rPr>
          <w:rFonts w:cstheme="minorHAnsi"/>
        </w:rPr>
        <w:t>≥</w:t>
      </w:r>
      <w:r>
        <w:t xml:space="preserve"> 550</w:t>
      </w:r>
    </w:p>
    <w:p w14:paraId="6E3BB49A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 poprzek </w:t>
      </w:r>
      <w:r>
        <w:rPr>
          <w:rFonts w:cstheme="minorHAnsi"/>
        </w:rPr>
        <w:t>≥</w:t>
      </w:r>
      <w:r>
        <w:t xml:space="preserve"> 450</w:t>
      </w:r>
    </w:p>
    <w:p w14:paraId="038C747B" w14:textId="77777777" w:rsidR="00017E47" w:rsidRDefault="00017E47" w:rsidP="00017E47">
      <w:pPr>
        <w:pStyle w:val="Akapitzlist"/>
        <w:numPr>
          <w:ilvl w:val="0"/>
          <w:numId w:val="17"/>
        </w:numPr>
        <w:spacing w:after="0" w:line="240" w:lineRule="auto"/>
        <w:ind w:left="1701" w:hanging="283"/>
      </w:pPr>
      <w:r>
        <w:t>właściwości mechaniczne przy rozciąganiu [%]: wydłużenie</w:t>
      </w:r>
    </w:p>
    <w:p w14:paraId="3E5D41F7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wzdłuż </w:t>
      </w:r>
      <w:r>
        <w:rPr>
          <w:rFonts w:cstheme="minorHAnsi"/>
        </w:rPr>
        <w:t>≥ 45</w:t>
      </w:r>
    </w:p>
    <w:p w14:paraId="1AB86BD0" w14:textId="77777777" w:rsidR="00017E47" w:rsidRDefault="00017E47" w:rsidP="00017E47">
      <w:pPr>
        <w:pStyle w:val="Akapitzlist"/>
        <w:shd w:val="clear" w:color="auto" w:fill="FFFFFF" w:themeFill="background1"/>
        <w:spacing w:after="0" w:line="240" w:lineRule="auto"/>
        <w:ind w:left="2124"/>
        <w:rPr>
          <w:rFonts w:cstheme="minorHAnsi"/>
        </w:rPr>
      </w:pPr>
      <w:r>
        <w:t xml:space="preserve">- kierunek w poprzek </w:t>
      </w:r>
      <w:r>
        <w:rPr>
          <w:rFonts w:cstheme="minorHAnsi"/>
        </w:rPr>
        <w:t>≥ 45</w:t>
      </w:r>
    </w:p>
    <w:p w14:paraId="300CBE30" w14:textId="77777777" w:rsidR="00017E47" w:rsidRDefault="00017E47" w:rsidP="00017E47">
      <w:pPr>
        <w:numPr>
          <w:ilvl w:val="0"/>
          <w:numId w:val="16"/>
        </w:numPr>
        <w:spacing w:after="0" w:line="240" w:lineRule="auto"/>
      </w:pPr>
      <w:r>
        <w:t>papa wierzchniego krycia, zgrzewalna:</w:t>
      </w:r>
    </w:p>
    <w:p w14:paraId="73E9170B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  <w:ind w:left="1701" w:hanging="283"/>
      </w:pPr>
      <w:r>
        <w:t>grubość [mm]: 5,2</w:t>
      </w:r>
      <w:r>
        <w:rPr>
          <w:rFonts w:cstheme="minorHAnsi"/>
        </w:rPr>
        <w:t>÷</w:t>
      </w:r>
      <w:r>
        <w:t>5,4</w:t>
      </w:r>
    </w:p>
    <w:p w14:paraId="5025F882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  <w:ind w:left="1701" w:hanging="283"/>
      </w:pPr>
      <w:r>
        <w:t xml:space="preserve">wodoszczelność: </w:t>
      </w:r>
      <w:r>
        <w:rPr>
          <w:rFonts w:cstheme="minorHAnsi"/>
        </w:rPr>
        <w:t>≥</w:t>
      </w:r>
      <w:r>
        <w:t xml:space="preserve"> 400 </w:t>
      </w:r>
      <w:proofErr w:type="spellStart"/>
      <w:r>
        <w:t>kPa</w:t>
      </w:r>
      <w:proofErr w:type="spellEnd"/>
    </w:p>
    <w:p w14:paraId="5BBB6246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  <w:ind w:left="1701" w:hanging="283"/>
      </w:pPr>
      <w:r>
        <w:t>wkładka nośna z włókniny poliestrowej [g/m</w:t>
      </w:r>
      <w:r>
        <w:rPr>
          <w:vertAlign w:val="superscript"/>
        </w:rPr>
        <w:t>2</w:t>
      </w:r>
      <w:r>
        <w:t>]: 250</w:t>
      </w:r>
    </w:p>
    <w:p w14:paraId="3EB60979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  <w:ind w:left="1701" w:hanging="283"/>
      </w:pPr>
      <w:r>
        <w:t xml:space="preserve">wytrzymałość złączy na ścinanie [N/50 mm]: </w:t>
      </w:r>
    </w:p>
    <w:p w14:paraId="68962BF7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zakład podłużny </w:t>
      </w:r>
      <w:r>
        <w:rPr>
          <w:rFonts w:cstheme="minorHAnsi"/>
        </w:rPr>
        <w:t>≥</w:t>
      </w:r>
      <w:r>
        <w:t xml:space="preserve"> 800</w:t>
      </w:r>
    </w:p>
    <w:p w14:paraId="642187BB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zakład poprzeczny </w:t>
      </w:r>
      <w:r>
        <w:rPr>
          <w:rFonts w:cstheme="minorHAnsi"/>
        </w:rPr>
        <w:t>≥</w:t>
      </w:r>
      <w:r>
        <w:t xml:space="preserve"> 1000</w:t>
      </w:r>
    </w:p>
    <w:p w14:paraId="75610B70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</w:pPr>
      <w:r>
        <w:t>właściwości mechaniczne przy rozciąganiu [N/50 mm]: maksymalna siła rozciągająca</w:t>
      </w:r>
    </w:p>
    <w:p w14:paraId="2700C738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wzdłuż </w:t>
      </w:r>
      <w:r>
        <w:rPr>
          <w:rFonts w:cstheme="minorHAnsi"/>
        </w:rPr>
        <w:t>≥</w:t>
      </w:r>
      <w:r>
        <w:t xml:space="preserve"> 1000</w:t>
      </w:r>
    </w:p>
    <w:p w14:paraId="63E768D0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 poprzek </w:t>
      </w:r>
      <w:r>
        <w:rPr>
          <w:rFonts w:cstheme="minorHAnsi"/>
        </w:rPr>
        <w:t>≥</w:t>
      </w:r>
      <w:r>
        <w:t xml:space="preserve"> 800</w:t>
      </w:r>
    </w:p>
    <w:p w14:paraId="3FACD99D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</w:pPr>
      <w:r>
        <w:t>właściwości mechaniczne przy rozciąganiu [%]: wydłużenie</w:t>
      </w:r>
    </w:p>
    <w:p w14:paraId="65254502" w14:textId="77777777" w:rsidR="00017E47" w:rsidRDefault="00017E47" w:rsidP="00017E47">
      <w:pPr>
        <w:pStyle w:val="Akapitzlist"/>
        <w:spacing w:after="0" w:line="240" w:lineRule="auto"/>
        <w:ind w:left="2124"/>
      </w:pPr>
      <w:r>
        <w:t xml:space="preserve">- kierunek wzdłuż </w:t>
      </w:r>
      <w:r>
        <w:rPr>
          <w:rFonts w:cstheme="minorHAnsi"/>
        </w:rPr>
        <w:t>≥ 50</w:t>
      </w:r>
    </w:p>
    <w:p w14:paraId="61D549EC" w14:textId="77777777" w:rsidR="00017E47" w:rsidRDefault="00017E47" w:rsidP="00017E47">
      <w:pPr>
        <w:pStyle w:val="Akapitzlist"/>
        <w:shd w:val="clear" w:color="auto" w:fill="FFFFFF" w:themeFill="background1"/>
        <w:spacing w:after="0" w:line="240" w:lineRule="auto"/>
        <w:ind w:left="2124"/>
      </w:pPr>
      <w:r>
        <w:t xml:space="preserve">- kierunek w poprzek </w:t>
      </w:r>
      <w:r>
        <w:rPr>
          <w:rFonts w:cstheme="minorHAnsi"/>
        </w:rPr>
        <w:t>≥ 50</w:t>
      </w:r>
    </w:p>
    <w:p w14:paraId="4E81C7AA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</w:pPr>
      <w:r>
        <w:t xml:space="preserve">Odporność na obciążenie statyczne [kg] </w:t>
      </w:r>
      <w:r>
        <w:rPr>
          <w:rFonts w:cstheme="minorHAnsi"/>
        </w:rPr>
        <w:t xml:space="preserve">≥ </w:t>
      </w:r>
      <w:r>
        <w:t>20</w:t>
      </w:r>
    </w:p>
    <w:p w14:paraId="63D591EF" w14:textId="77777777" w:rsidR="00017E47" w:rsidRDefault="00017E47" w:rsidP="00017E47">
      <w:pPr>
        <w:pStyle w:val="Akapitzlist"/>
        <w:numPr>
          <w:ilvl w:val="0"/>
          <w:numId w:val="18"/>
        </w:numPr>
        <w:spacing w:after="120" w:line="240" w:lineRule="auto"/>
        <w:ind w:left="1797" w:hanging="357"/>
      </w:pPr>
      <w:r>
        <w:t>Giętkość w  niskiej temperaturze [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] </w:t>
      </w:r>
      <w:r>
        <w:rPr>
          <w:rFonts w:cstheme="minorHAnsi"/>
        </w:rPr>
        <w:t>≤ -25</w:t>
      </w:r>
    </w:p>
    <w:p w14:paraId="134C5B1D" w14:textId="77777777" w:rsidR="00017E47" w:rsidRDefault="00017E47" w:rsidP="00017E47">
      <w:pPr>
        <w:numPr>
          <w:ilvl w:val="0"/>
          <w:numId w:val="16"/>
        </w:numPr>
        <w:spacing w:after="0" w:line="240" w:lineRule="auto"/>
      </w:pPr>
      <w:r>
        <w:t>obróbki blacharskie z blachy tytanowo- cynkowej wymagania zgodnie normy EN 988:</w:t>
      </w:r>
    </w:p>
    <w:p w14:paraId="7350207A" w14:textId="77777777" w:rsidR="00017E47" w:rsidRDefault="00017E47" w:rsidP="00017E47">
      <w:pPr>
        <w:pStyle w:val="Akapitzlist"/>
        <w:numPr>
          <w:ilvl w:val="0"/>
          <w:numId w:val="18"/>
        </w:numPr>
        <w:spacing w:after="120" w:line="240" w:lineRule="auto"/>
        <w:ind w:left="1797" w:hanging="357"/>
      </w:pPr>
      <w:r>
        <w:t xml:space="preserve">grubość [mm]: </w:t>
      </w:r>
      <w:r>
        <w:rPr>
          <w:rFonts w:cstheme="minorHAnsi"/>
        </w:rPr>
        <w:t>≥</w:t>
      </w:r>
      <w:r>
        <w:t xml:space="preserve"> 0,7</w:t>
      </w:r>
    </w:p>
    <w:p w14:paraId="63FAEA52" w14:textId="77777777" w:rsidR="00017E47" w:rsidRDefault="00017E47" w:rsidP="00017E47">
      <w:pPr>
        <w:numPr>
          <w:ilvl w:val="0"/>
          <w:numId w:val="16"/>
        </w:numPr>
        <w:spacing w:after="0" w:line="240" w:lineRule="auto"/>
      </w:pPr>
      <w:r>
        <w:t>rury i rynny spustowe z blachy tytanowo- cynkowej wymagania zgodnie normy EN 988:</w:t>
      </w:r>
    </w:p>
    <w:p w14:paraId="2BFC2B53" w14:textId="77777777" w:rsidR="00017E47" w:rsidRDefault="00017E47" w:rsidP="00017E47">
      <w:pPr>
        <w:pStyle w:val="Akapitzlist"/>
        <w:numPr>
          <w:ilvl w:val="0"/>
          <w:numId w:val="18"/>
        </w:numPr>
        <w:spacing w:after="0" w:line="240" w:lineRule="auto"/>
      </w:pPr>
      <w:r>
        <w:t xml:space="preserve">grubość [mm]: </w:t>
      </w:r>
      <w:r>
        <w:rPr>
          <w:rFonts w:cstheme="minorHAnsi"/>
        </w:rPr>
        <w:t>≥</w:t>
      </w:r>
      <w:r>
        <w:t xml:space="preserve"> 0,7</w:t>
      </w:r>
    </w:p>
    <w:p w14:paraId="0416D956" w14:textId="77777777" w:rsidR="00017E47" w:rsidRDefault="00017E47" w:rsidP="00017E47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7B9C64F9" w14:textId="77777777" w:rsidR="00017E47" w:rsidRDefault="00017E47" w:rsidP="00017E47">
      <w:pPr>
        <w:jc w:val="both"/>
      </w:pPr>
      <w:r>
        <w:t xml:space="preserve">Wszystkie materiały  użyte do realizacji zadania muszą posiadać atesty, aprobaty  techniczne, deklaracje zgodności bądź inne dokumenty potwierdzające  ich  dopuszczenie do obrotu </w:t>
      </w:r>
      <w:r>
        <w:br/>
        <w:t>i powszechnego stosowania w budownictwie.</w:t>
      </w:r>
    </w:p>
    <w:p w14:paraId="2AF74A37" w14:textId="276348C5" w:rsidR="0080050B" w:rsidRPr="00F64387" w:rsidRDefault="0080050B" w:rsidP="00F64387">
      <w:pPr>
        <w:rPr>
          <w:rFonts w:eastAsia="Calibri" w:cstheme="minorHAnsi"/>
        </w:rPr>
      </w:pPr>
      <w:bookmarkStart w:id="1" w:name="_GoBack"/>
      <w:bookmarkEnd w:id="1"/>
    </w:p>
    <w:sectPr w:rsidR="0080050B" w:rsidRPr="00F64387" w:rsidSect="007C47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E0862" w14:textId="77777777" w:rsidR="00CE2D0A" w:rsidRDefault="00CE2D0A" w:rsidP="006E6139">
      <w:pPr>
        <w:spacing w:after="0" w:line="240" w:lineRule="auto"/>
      </w:pPr>
      <w:r>
        <w:separator/>
      </w:r>
    </w:p>
  </w:endnote>
  <w:endnote w:type="continuationSeparator" w:id="0">
    <w:p w14:paraId="7288AEE3" w14:textId="77777777" w:rsidR="00CE2D0A" w:rsidRDefault="00CE2D0A" w:rsidP="006E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232D" w14:textId="77777777" w:rsidR="00CE2D0A" w:rsidRDefault="00CE2D0A" w:rsidP="006E6139">
      <w:pPr>
        <w:spacing w:after="0" w:line="240" w:lineRule="auto"/>
      </w:pPr>
      <w:r>
        <w:separator/>
      </w:r>
    </w:p>
  </w:footnote>
  <w:footnote w:type="continuationSeparator" w:id="0">
    <w:p w14:paraId="776A0A06" w14:textId="77777777" w:rsidR="00CE2D0A" w:rsidRDefault="00CE2D0A" w:rsidP="006E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BE5D" w14:textId="128D3EE5" w:rsidR="00F14ADA" w:rsidRDefault="00F14ADA">
    <w:pPr>
      <w:pStyle w:val="Nagwek"/>
    </w:pPr>
    <w:r>
      <w:tab/>
    </w:r>
    <w:r>
      <w:tab/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BF1"/>
    <w:multiLevelType w:val="hybridMultilevel"/>
    <w:tmpl w:val="405C57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8BB"/>
    <w:multiLevelType w:val="hybridMultilevel"/>
    <w:tmpl w:val="76701B44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483"/>
    <w:multiLevelType w:val="hybridMultilevel"/>
    <w:tmpl w:val="95660790"/>
    <w:lvl w:ilvl="0" w:tplc="5DEEE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1C66"/>
    <w:multiLevelType w:val="hybridMultilevel"/>
    <w:tmpl w:val="CBFE8ED2"/>
    <w:lvl w:ilvl="0" w:tplc="6DD0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7B12"/>
    <w:multiLevelType w:val="hybridMultilevel"/>
    <w:tmpl w:val="46C461C4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4C9B0EC0"/>
    <w:multiLevelType w:val="hybridMultilevel"/>
    <w:tmpl w:val="313AFD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951981"/>
    <w:multiLevelType w:val="hybridMultilevel"/>
    <w:tmpl w:val="71F0981C"/>
    <w:lvl w:ilvl="0" w:tplc="FEFCCFD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71C5"/>
    <w:multiLevelType w:val="singleLevel"/>
    <w:tmpl w:val="C724454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603F1BDF"/>
    <w:multiLevelType w:val="hybridMultilevel"/>
    <w:tmpl w:val="0082DFD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7B"/>
    <w:rsid w:val="00017E47"/>
    <w:rsid w:val="00023DBD"/>
    <w:rsid w:val="000315EB"/>
    <w:rsid w:val="00050FB4"/>
    <w:rsid w:val="000610A2"/>
    <w:rsid w:val="000645DC"/>
    <w:rsid w:val="000656DF"/>
    <w:rsid w:val="00067069"/>
    <w:rsid w:val="00073DF2"/>
    <w:rsid w:val="000749EC"/>
    <w:rsid w:val="000C0485"/>
    <w:rsid w:val="000D076A"/>
    <w:rsid w:val="000D160B"/>
    <w:rsid w:val="000D6729"/>
    <w:rsid w:val="000F0D6C"/>
    <w:rsid w:val="0010104E"/>
    <w:rsid w:val="001106FE"/>
    <w:rsid w:val="00115BF8"/>
    <w:rsid w:val="00117904"/>
    <w:rsid w:val="00117F67"/>
    <w:rsid w:val="00135DB3"/>
    <w:rsid w:val="00136A4B"/>
    <w:rsid w:val="0015027B"/>
    <w:rsid w:val="001510DD"/>
    <w:rsid w:val="00172CCE"/>
    <w:rsid w:val="00180B49"/>
    <w:rsid w:val="00181D58"/>
    <w:rsid w:val="001929BB"/>
    <w:rsid w:val="00196048"/>
    <w:rsid w:val="001A336B"/>
    <w:rsid w:val="001A3964"/>
    <w:rsid w:val="001A53B8"/>
    <w:rsid w:val="001B7C0C"/>
    <w:rsid w:val="001C1877"/>
    <w:rsid w:val="001C7B02"/>
    <w:rsid w:val="001D0E2F"/>
    <w:rsid w:val="001E082A"/>
    <w:rsid w:val="001E1C49"/>
    <w:rsid w:val="001F66B9"/>
    <w:rsid w:val="001F75AF"/>
    <w:rsid w:val="00200C0E"/>
    <w:rsid w:val="00201C42"/>
    <w:rsid w:val="0020200A"/>
    <w:rsid w:val="002020C6"/>
    <w:rsid w:val="0022278D"/>
    <w:rsid w:val="00226892"/>
    <w:rsid w:val="002278AB"/>
    <w:rsid w:val="0023306E"/>
    <w:rsid w:val="00235428"/>
    <w:rsid w:val="002462E5"/>
    <w:rsid w:val="00252E5C"/>
    <w:rsid w:val="00273514"/>
    <w:rsid w:val="00294325"/>
    <w:rsid w:val="00294AB1"/>
    <w:rsid w:val="002B00C5"/>
    <w:rsid w:val="002B4340"/>
    <w:rsid w:val="002B4CFA"/>
    <w:rsid w:val="002D6CDC"/>
    <w:rsid w:val="002E7E3A"/>
    <w:rsid w:val="002F6BF9"/>
    <w:rsid w:val="00310F77"/>
    <w:rsid w:val="00313A7C"/>
    <w:rsid w:val="00321411"/>
    <w:rsid w:val="00337C3D"/>
    <w:rsid w:val="003539D8"/>
    <w:rsid w:val="003608A8"/>
    <w:rsid w:val="00363157"/>
    <w:rsid w:val="003906CA"/>
    <w:rsid w:val="003A2CAD"/>
    <w:rsid w:val="003B0D73"/>
    <w:rsid w:val="003B4ED4"/>
    <w:rsid w:val="003D310F"/>
    <w:rsid w:val="003D3245"/>
    <w:rsid w:val="003E2EBB"/>
    <w:rsid w:val="00401A90"/>
    <w:rsid w:val="00432178"/>
    <w:rsid w:val="004420EF"/>
    <w:rsid w:val="004451F9"/>
    <w:rsid w:val="00461D93"/>
    <w:rsid w:val="00464C6B"/>
    <w:rsid w:val="00470340"/>
    <w:rsid w:val="004810D7"/>
    <w:rsid w:val="00482389"/>
    <w:rsid w:val="00483D28"/>
    <w:rsid w:val="004A09FA"/>
    <w:rsid w:val="004A0CC4"/>
    <w:rsid w:val="004A7659"/>
    <w:rsid w:val="004B0AE9"/>
    <w:rsid w:val="004B4AD0"/>
    <w:rsid w:val="004C1E0A"/>
    <w:rsid w:val="004D0377"/>
    <w:rsid w:val="004D0C4D"/>
    <w:rsid w:val="004E4F60"/>
    <w:rsid w:val="004F185F"/>
    <w:rsid w:val="004F1922"/>
    <w:rsid w:val="004F1C1C"/>
    <w:rsid w:val="00500B68"/>
    <w:rsid w:val="00501400"/>
    <w:rsid w:val="00505A3E"/>
    <w:rsid w:val="00511EF0"/>
    <w:rsid w:val="00514C65"/>
    <w:rsid w:val="00524F3B"/>
    <w:rsid w:val="00536970"/>
    <w:rsid w:val="005404E5"/>
    <w:rsid w:val="00542A9D"/>
    <w:rsid w:val="00550C9C"/>
    <w:rsid w:val="00554349"/>
    <w:rsid w:val="005567CB"/>
    <w:rsid w:val="005669B5"/>
    <w:rsid w:val="00575A67"/>
    <w:rsid w:val="0058128F"/>
    <w:rsid w:val="00583F3C"/>
    <w:rsid w:val="00594CA9"/>
    <w:rsid w:val="005A2A93"/>
    <w:rsid w:val="005B240F"/>
    <w:rsid w:val="005B2F20"/>
    <w:rsid w:val="005D3CBC"/>
    <w:rsid w:val="005E18AC"/>
    <w:rsid w:val="005E3D15"/>
    <w:rsid w:val="005E548D"/>
    <w:rsid w:val="005F1BA8"/>
    <w:rsid w:val="005F6499"/>
    <w:rsid w:val="00600DA7"/>
    <w:rsid w:val="00603E87"/>
    <w:rsid w:val="0062204E"/>
    <w:rsid w:val="00622164"/>
    <w:rsid w:val="00634CE7"/>
    <w:rsid w:val="0063599E"/>
    <w:rsid w:val="006408D8"/>
    <w:rsid w:val="006434C6"/>
    <w:rsid w:val="006456A6"/>
    <w:rsid w:val="00654C64"/>
    <w:rsid w:val="006751E2"/>
    <w:rsid w:val="00686A1D"/>
    <w:rsid w:val="006872A7"/>
    <w:rsid w:val="006D5535"/>
    <w:rsid w:val="006E2764"/>
    <w:rsid w:val="006E4F10"/>
    <w:rsid w:val="006E6139"/>
    <w:rsid w:val="006E6FAE"/>
    <w:rsid w:val="006F102C"/>
    <w:rsid w:val="006F5F06"/>
    <w:rsid w:val="00714387"/>
    <w:rsid w:val="00714402"/>
    <w:rsid w:val="00722E83"/>
    <w:rsid w:val="00722EAF"/>
    <w:rsid w:val="00727BAF"/>
    <w:rsid w:val="0074408F"/>
    <w:rsid w:val="00747D25"/>
    <w:rsid w:val="0075708B"/>
    <w:rsid w:val="00757775"/>
    <w:rsid w:val="0076145B"/>
    <w:rsid w:val="00766B52"/>
    <w:rsid w:val="00781191"/>
    <w:rsid w:val="007A3E29"/>
    <w:rsid w:val="007B04BB"/>
    <w:rsid w:val="007B1478"/>
    <w:rsid w:val="007B540D"/>
    <w:rsid w:val="007B5563"/>
    <w:rsid w:val="007B6796"/>
    <w:rsid w:val="007C47B7"/>
    <w:rsid w:val="007C7F0A"/>
    <w:rsid w:val="007D1EAF"/>
    <w:rsid w:val="007E33F8"/>
    <w:rsid w:val="007E6B5A"/>
    <w:rsid w:val="007E71D5"/>
    <w:rsid w:val="007F3C90"/>
    <w:rsid w:val="0080050B"/>
    <w:rsid w:val="00812D8F"/>
    <w:rsid w:val="00814DD1"/>
    <w:rsid w:val="00824984"/>
    <w:rsid w:val="008352D3"/>
    <w:rsid w:val="00837A28"/>
    <w:rsid w:val="008439C7"/>
    <w:rsid w:val="00844AE4"/>
    <w:rsid w:val="0086721B"/>
    <w:rsid w:val="00877A86"/>
    <w:rsid w:val="0088125C"/>
    <w:rsid w:val="008854A4"/>
    <w:rsid w:val="008923F0"/>
    <w:rsid w:val="00895042"/>
    <w:rsid w:val="008975B0"/>
    <w:rsid w:val="008A0490"/>
    <w:rsid w:val="008A3C4A"/>
    <w:rsid w:val="008B441B"/>
    <w:rsid w:val="008C2934"/>
    <w:rsid w:val="008D54A6"/>
    <w:rsid w:val="008D7253"/>
    <w:rsid w:val="008F2784"/>
    <w:rsid w:val="00906C84"/>
    <w:rsid w:val="00931AF3"/>
    <w:rsid w:val="00940EFA"/>
    <w:rsid w:val="00974C4A"/>
    <w:rsid w:val="00982B90"/>
    <w:rsid w:val="009B3B5D"/>
    <w:rsid w:val="009B6F5B"/>
    <w:rsid w:val="009D4D10"/>
    <w:rsid w:val="009D72E8"/>
    <w:rsid w:val="009E2A44"/>
    <w:rsid w:val="009E394D"/>
    <w:rsid w:val="009E79DB"/>
    <w:rsid w:val="009F7FFA"/>
    <w:rsid w:val="00A065F7"/>
    <w:rsid w:val="00A10154"/>
    <w:rsid w:val="00A35C88"/>
    <w:rsid w:val="00A514BC"/>
    <w:rsid w:val="00A5369F"/>
    <w:rsid w:val="00A62066"/>
    <w:rsid w:val="00A71293"/>
    <w:rsid w:val="00A727B0"/>
    <w:rsid w:val="00A72E2E"/>
    <w:rsid w:val="00A8347F"/>
    <w:rsid w:val="00A9050B"/>
    <w:rsid w:val="00A96D33"/>
    <w:rsid w:val="00AA61D6"/>
    <w:rsid w:val="00AB2562"/>
    <w:rsid w:val="00AB2E1F"/>
    <w:rsid w:val="00AC1068"/>
    <w:rsid w:val="00AC6CD2"/>
    <w:rsid w:val="00AE621F"/>
    <w:rsid w:val="00AF148D"/>
    <w:rsid w:val="00AF411A"/>
    <w:rsid w:val="00B01478"/>
    <w:rsid w:val="00B20314"/>
    <w:rsid w:val="00B21BC1"/>
    <w:rsid w:val="00B56406"/>
    <w:rsid w:val="00B67B34"/>
    <w:rsid w:val="00B72FAF"/>
    <w:rsid w:val="00B80BDA"/>
    <w:rsid w:val="00B83F4C"/>
    <w:rsid w:val="00B847D1"/>
    <w:rsid w:val="00B9165F"/>
    <w:rsid w:val="00B92AE3"/>
    <w:rsid w:val="00BA1A66"/>
    <w:rsid w:val="00BA3ED4"/>
    <w:rsid w:val="00BB3041"/>
    <w:rsid w:val="00BD1A91"/>
    <w:rsid w:val="00BD1FB8"/>
    <w:rsid w:val="00BD400F"/>
    <w:rsid w:val="00BD7E33"/>
    <w:rsid w:val="00BF7B93"/>
    <w:rsid w:val="00BF7EAB"/>
    <w:rsid w:val="00C040DE"/>
    <w:rsid w:val="00C06537"/>
    <w:rsid w:val="00C07403"/>
    <w:rsid w:val="00C1417C"/>
    <w:rsid w:val="00C20B18"/>
    <w:rsid w:val="00C3281E"/>
    <w:rsid w:val="00C3598A"/>
    <w:rsid w:val="00C36747"/>
    <w:rsid w:val="00C56DAD"/>
    <w:rsid w:val="00C62945"/>
    <w:rsid w:val="00C757C7"/>
    <w:rsid w:val="00C764A3"/>
    <w:rsid w:val="00C8124E"/>
    <w:rsid w:val="00CA0B7D"/>
    <w:rsid w:val="00CA3C1D"/>
    <w:rsid w:val="00CB4055"/>
    <w:rsid w:val="00CB5019"/>
    <w:rsid w:val="00CB5842"/>
    <w:rsid w:val="00CC0D26"/>
    <w:rsid w:val="00CD0102"/>
    <w:rsid w:val="00CE2D0A"/>
    <w:rsid w:val="00CE73A1"/>
    <w:rsid w:val="00CF08C1"/>
    <w:rsid w:val="00D1081D"/>
    <w:rsid w:val="00D245B1"/>
    <w:rsid w:val="00D3250F"/>
    <w:rsid w:val="00D410E0"/>
    <w:rsid w:val="00D46FA6"/>
    <w:rsid w:val="00D5372A"/>
    <w:rsid w:val="00D55B4E"/>
    <w:rsid w:val="00D60FC3"/>
    <w:rsid w:val="00D62864"/>
    <w:rsid w:val="00D64C53"/>
    <w:rsid w:val="00D71AFF"/>
    <w:rsid w:val="00D73BEE"/>
    <w:rsid w:val="00D94BEB"/>
    <w:rsid w:val="00DA1637"/>
    <w:rsid w:val="00DA5AEF"/>
    <w:rsid w:val="00DB2965"/>
    <w:rsid w:val="00DB6A50"/>
    <w:rsid w:val="00DC2BA8"/>
    <w:rsid w:val="00DC5CDD"/>
    <w:rsid w:val="00DD15E4"/>
    <w:rsid w:val="00DE5566"/>
    <w:rsid w:val="00E023F6"/>
    <w:rsid w:val="00E03C63"/>
    <w:rsid w:val="00E12464"/>
    <w:rsid w:val="00E31671"/>
    <w:rsid w:val="00E33845"/>
    <w:rsid w:val="00E36D0E"/>
    <w:rsid w:val="00E4566A"/>
    <w:rsid w:val="00E53045"/>
    <w:rsid w:val="00E65304"/>
    <w:rsid w:val="00E65820"/>
    <w:rsid w:val="00E70A30"/>
    <w:rsid w:val="00E768D7"/>
    <w:rsid w:val="00E83091"/>
    <w:rsid w:val="00E87C66"/>
    <w:rsid w:val="00E95060"/>
    <w:rsid w:val="00E95984"/>
    <w:rsid w:val="00EB0497"/>
    <w:rsid w:val="00EC11D7"/>
    <w:rsid w:val="00EC7A61"/>
    <w:rsid w:val="00ED3C10"/>
    <w:rsid w:val="00ED7955"/>
    <w:rsid w:val="00EE2FCB"/>
    <w:rsid w:val="00EF12B8"/>
    <w:rsid w:val="00F029D1"/>
    <w:rsid w:val="00F039EA"/>
    <w:rsid w:val="00F04BD7"/>
    <w:rsid w:val="00F10392"/>
    <w:rsid w:val="00F14ADA"/>
    <w:rsid w:val="00F32D63"/>
    <w:rsid w:val="00F41629"/>
    <w:rsid w:val="00F46664"/>
    <w:rsid w:val="00F53580"/>
    <w:rsid w:val="00F544D3"/>
    <w:rsid w:val="00F54D2B"/>
    <w:rsid w:val="00F6062D"/>
    <w:rsid w:val="00F614EA"/>
    <w:rsid w:val="00F64387"/>
    <w:rsid w:val="00F64B3E"/>
    <w:rsid w:val="00F726CC"/>
    <w:rsid w:val="00F92186"/>
    <w:rsid w:val="00FA2517"/>
    <w:rsid w:val="00FB1C2B"/>
    <w:rsid w:val="00FC0757"/>
    <w:rsid w:val="00FC78B9"/>
    <w:rsid w:val="00FE14B1"/>
    <w:rsid w:val="00FE3FA4"/>
    <w:rsid w:val="00FF3DA6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1F08"/>
  <w15:docId w15:val="{D4707219-DF64-45BD-9ADB-F126EAA1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CW_Lista,L1,Numerowanie,List Paragraph,Akapit z listą5"/>
    <w:basedOn w:val="Normalny"/>
    <w:link w:val="AkapitzlistZnak"/>
    <w:uiPriority w:val="34"/>
    <w:qFormat/>
    <w:rsid w:val="00B72FAF"/>
    <w:pPr>
      <w:ind w:left="720"/>
      <w:contextualSpacing/>
    </w:pPr>
  </w:style>
  <w:style w:type="table" w:styleId="Tabela-Siatka">
    <w:name w:val="Table Grid"/>
    <w:basedOn w:val="Standardowy"/>
    <w:uiPriority w:val="39"/>
    <w:rsid w:val="0083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95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1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1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139"/>
    <w:rPr>
      <w:vertAlign w:val="superscript"/>
    </w:rPr>
  </w:style>
  <w:style w:type="paragraph" w:styleId="Tekstpodstawowy2">
    <w:name w:val="Body Text 2"/>
    <w:basedOn w:val="Normalny"/>
    <w:link w:val="Tekstpodstawowy2Znak"/>
    <w:rsid w:val="00CF08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F08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F08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8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8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8A8"/>
    <w:rPr>
      <w:vertAlign w:val="superscript"/>
    </w:rPr>
  </w:style>
  <w:style w:type="character" w:customStyle="1" w:styleId="AkapitzlistZnak">
    <w:name w:val="Akapit z listą Znak"/>
    <w:aliases w:val="wypunktowanie Znak,Nag 1 Znak,Wypunktowanie Znak,CW_Lista Znak,L1 Znak,Numerowanie Znak,List Paragraph Znak,Akapit z listą5 Znak"/>
    <w:basedOn w:val="Domylnaczcionkaakapitu"/>
    <w:link w:val="Akapitzlist"/>
    <w:uiPriority w:val="34"/>
    <w:qFormat/>
    <w:locked/>
    <w:rsid w:val="00D94BEB"/>
  </w:style>
  <w:style w:type="paragraph" w:styleId="Poprawka">
    <w:name w:val="Revision"/>
    <w:hidden/>
    <w:uiPriority w:val="99"/>
    <w:semiHidden/>
    <w:rsid w:val="00CA3C1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0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ADA"/>
  </w:style>
  <w:style w:type="paragraph" w:styleId="Stopka">
    <w:name w:val="footer"/>
    <w:basedOn w:val="Normalny"/>
    <w:link w:val="StopkaZnak"/>
    <w:uiPriority w:val="99"/>
    <w:unhideWhenUsed/>
    <w:rsid w:val="00F1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94927-A5D6-4E13-A98F-76327CCC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krzmacie</dc:creator>
  <cp:lastModifiedBy>Agnieszka Poręczewska-Bereszko</cp:lastModifiedBy>
  <cp:revision>9</cp:revision>
  <cp:lastPrinted>2021-10-06T11:12:00Z</cp:lastPrinted>
  <dcterms:created xsi:type="dcterms:W3CDTF">2021-07-08T07:08:00Z</dcterms:created>
  <dcterms:modified xsi:type="dcterms:W3CDTF">2021-10-06T11:23:00Z</dcterms:modified>
</cp:coreProperties>
</file>