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435" w14:textId="124FB2CB" w:rsidR="0002134D" w:rsidRPr="006A217F" w:rsidRDefault="00AB236F" w:rsidP="007C4F0B">
      <w:pPr>
        <w:pStyle w:val="Nagwek1"/>
        <w:spacing w:after="0" w:line="240" w:lineRule="auto"/>
        <w:ind w:left="-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Załącznik nr </w:t>
      </w:r>
      <w:r w:rsidR="002D2B3E">
        <w:rPr>
          <w:rFonts w:ascii="Times New Roman" w:hAnsi="Times New Roman" w:cs="Times New Roman"/>
          <w:color w:val="auto"/>
          <w:sz w:val="24"/>
          <w:szCs w:val="24"/>
        </w:rPr>
        <w:t>4</w:t>
      </w:r>
      <w:r w:rsidRPr="006A217F">
        <w:rPr>
          <w:rFonts w:ascii="Times New Roman" w:hAnsi="Times New Roman" w:cs="Times New Roman"/>
          <w:b w:val="0"/>
          <w:color w:val="auto"/>
          <w:sz w:val="24"/>
          <w:szCs w:val="24"/>
        </w:rPr>
        <w:t xml:space="preserve"> </w:t>
      </w:r>
      <w:r w:rsidRPr="006A217F">
        <w:rPr>
          <w:rFonts w:ascii="Times New Roman" w:hAnsi="Times New Roman" w:cs="Times New Roman"/>
          <w:color w:val="auto"/>
          <w:sz w:val="24"/>
          <w:szCs w:val="24"/>
        </w:rPr>
        <w:t>do SWKO</w:t>
      </w:r>
      <w:r w:rsidRPr="006A217F">
        <w:rPr>
          <w:rFonts w:ascii="Times New Roman" w:hAnsi="Times New Roman" w:cs="Times New Roman"/>
          <w:b w:val="0"/>
          <w:color w:val="auto"/>
          <w:sz w:val="24"/>
          <w:szCs w:val="24"/>
        </w:rPr>
        <w:t xml:space="preserve">                                                  </w:t>
      </w:r>
    </w:p>
    <w:p w14:paraId="56B5F936" w14:textId="77777777"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 xml:space="preserve">1/KO/2023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7777777"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Umowa nr …/2023 </w:t>
      </w:r>
    </w:p>
    <w:p w14:paraId="1142CBDD" w14:textId="47E5351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2023</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36DCCF83"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7506D188"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Przedmiot umowy</w:t>
      </w:r>
    </w:p>
    <w:p w14:paraId="3A37D2F0" w14:textId="403829EC"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 xml:space="preserve">i rezonansu magnetycznego (MR) </w:t>
      </w:r>
      <w:r w:rsidRPr="006A217F">
        <w:rPr>
          <w:rFonts w:ascii="Times New Roman" w:hAnsi="Times New Roman" w:cs="Times New Roman"/>
          <w:color w:val="auto"/>
          <w:sz w:val="24"/>
          <w:szCs w:val="24"/>
        </w:rPr>
        <w:t xml:space="preserve">w oparciu o środowisko informatyczne Udzielającego zamówienie –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 przypadkach wątpliwych. </w:t>
      </w:r>
    </w:p>
    <w:p w14:paraId="0AA423DF" w14:textId="6E0AC76D"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we własnym zakresie i na koszt Przyjmującego zamówienie integracji z działającym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u Udzielającego zamówienie systemem 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4437FA71" w:rsidR="0002134D" w:rsidRPr="006A217F"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p>
    <w:bookmarkEnd w:id="1"/>
    <w:p w14:paraId="4DB43EFF" w14:textId="45AD268A"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DE9E6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 xml:space="preserve">zdrowotnej finansowanych ze środków publicznych (Dz. U. z 2008 r. Nr 164, poz. 1027 z </w:t>
      </w:r>
      <w:proofErr w:type="spellStart"/>
      <w:r w:rsidRPr="006A217F">
        <w:rPr>
          <w:rFonts w:ascii="Times New Roman" w:hAnsi="Times New Roman" w:cs="Times New Roman"/>
          <w:color w:val="auto"/>
          <w:sz w:val="24"/>
          <w:szCs w:val="24"/>
        </w:rPr>
        <w:t>późn</w:t>
      </w:r>
      <w:proofErr w:type="spellEnd"/>
      <w:r w:rsidRPr="006A217F">
        <w:rPr>
          <w:rFonts w:ascii="Times New Roman" w:hAnsi="Times New Roman" w:cs="Times New Roman"/>
          <w:color w:val="auto"/>
          <w:sz w:val="24"/>
          <w:szCs w:val="24"/>
        </w:rPr>
        <w:t>. zm.),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7F4FF3B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w:t>
      </w:r>
      <w:r w:rsidR="001049DA">
        <w:rPr>
          <w:rFonts w:ascii="Times New Roman" w:hAnsi="Times New Roman" w:cs="Times New Roman"/>
          <w:color w:val="auto"/>
          <w:sz w:val="24"/>
          <w:szCs w:val="24"/>
        </w:rPr>
        <w:t xml:space="preserve">zamówienia </w:t>
      </w:r>
      <w:r w:rsidRPr="006A217F">
        <w:rPr>
          <w:rFonts w:ascii="Times New Roman" w:hAnsi="Times New Roman" w:cs="Times New Roman"/>
          <w:color w:val="auto"/>
          <w:sz w:val="24"/>
          <w:szCs w:val="24"/>
        </w:rPr>
        <w:t xml:space="preserve">PACS-em na koszt przyjmującego zamówienie.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39453A7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3544E76C" w14:textId="5CAA120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BA64D1">
        <w:rPr>
          <w:rFonts w:ascii="Times New Roman" w:hAnsi="Times New Roman" w:cs="Times New Roman"/>
          <w:color w:val="auto"/>
          <w:sz w:val="24"/>
          <w:szCs w:val="24"/>
        </w:rPr>
        <w:t>wyłącznie planowy tryb</w:t>
      </w:r>
      <w:r w:rsidRPr="006A217F">
        <w:rPr>
          <w:rFonts w:ascii="Times New Roman" w:hAnsi="Times New Roman" w:cs="Times New Roman"/>
          <w:color w:val="auto"/>
          <w:sz w:val="24"/>
          <w:szCs w:val="24"/>
        </w:rPr>
        <w:t xml:space="preserve"> opisów badań:  </w:t>
      </w:r>
    </w:p>
    <w:p w14:paraId="522EB18E" w14:textId="6E1AA34C"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7F2DA197"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BA64D1">
        <w:rPr>
          <w:rFonts w:ascii="Times New Roman" w:hAnsi="Times New Roman" w:cs="Times New Roman"/>
          <w:b/>
          <w:bCs/>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00AB236F" w:rsidRPr="006A217F">
        <w:rPr>
          <w:rFonts w:ascii="Times New Roman" w:hAnsi="Times New Roman" w:cs="Times New Roman"/>
          <w:b/>
          <w:color w:val="auto"/>
          <w:sz w:val="24"/>
          <w:szCs w:val="24"/>
        </w:rPr>
        <w:t xml:space="preserve">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231D26FB"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Pr="006A217F">
        <w:rPr>
          <w:rFonts w:ascii="Times New Roman" w:hAnsi="Times New Roman" w:cs="Times New Roman"/>
          <w:b/>
          <w:color w:val="auto"/>
          <w:sz w:val="24"/>
          <w:szCs w:val="24"/>
        </w:rPr>
        <w:t xml:space="preserve"> h </w:t>
      </w:r>
      <w:r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w:t>
      </w:r>
      <w:r w:rsidRPr="006A217F">
        <w:rPr>
          <w:rFonts w:ascii="Times New Roman" w:hAnsi="Times New Roman" w:cs="Times New Roman"/>
          <w:color w:val="auto"/>
          <w:sz w:val="24"/>
          <w:szCs w:val="24"/>
        </w:rPr>
        <w:lastRenderedPageBreak/>
        <w:t>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50AED5C2"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1) Serwerownia:  </w:t>
      </w:r>
    </w:p>
    <w:p w14:paraId="5E4B5B67"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Wszystkie elementy systemu zbudowane w sposób redundantny przy użyciu przynajmniej dwóch geograficznie oddzielonych od siebie centrów przetwarzania danych.  </w:t>
      </w:r>
    </w:p>
    <w:p w14:paraId="0BFE55CA"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2) Dostępność systemu informatycznego:  </w:t>
      </w:r>
    </w:p>
    <w:p w14:paraId="372DD1EB"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Dostępność czasowa systemu w skali roku minimum 99%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1B176FA3"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wykonania awaryjnej konfiguracji zabezpieczającej Udzielającego zamówienie na wypadek awarii systemu PACS.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447C69B5"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w:t>
      </w:r>
      <w:r w:rsidR="00BD0221">
        <w:rPr>
          <w:rFonts w:ascii="Times New Roman" w:hAnsi="Times New Roman" w:cs="Times New Roman"/>
          <w:color w:val="auto"/>
          <w:sz w:val="24"/>
          <w:szCs w:val="24"/>
        </w:rPr>
        <w:t>20/20</w:t>
      </w:r>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w:t>
      </w:r>
      <w:r w:rsidRPr="00950033">
        <w:rPr>
          <w:rFonts w:ascii="Times New Roman" w:hAnsi="Times New Roman" w:cs="Times New Roman"/>
          <w:color w:val="auto"/>
          <w:sz w:val="24"/>
          <w:szCs w:val="24"/>
        </w:rPr>
        <w:t>system informatyczny RIS firmy Eskulap</w:t>
      </w:r>
      <w:r w:rsidRPr="006A217F">
        <w:rPr>
          <w:rFonts w:ascii="Times New Roman" w:hAnsi="Times New Roman" w:cs="Times New Roman"/>
          <w:color w:val="auto"/>
          <w:sz w:val="24"/>
          <w:szCs w:val="24"/>
        </w:rPr>
        <w:t xml:space="preserve"> i PACS firmy </w:t>
      </w:r>
      <w:bookmarkStart w:id="4" w:name="_Hlk147303910"/>
      <w:r w:rsidR="006A217F" w:rsidRPr="006A217F">
        <w:rPr>
          <w:rFonts w:ascii="Times New Roman" w:hAnsi="Times New Roman" w:cs="Times New Roman"/>
          <w:color w:val="auto"/>
          <w:sz w:val="24"/>
          <w:szCs w:val="24"/>
        </w:rPr>
        <w:t>SIEMENS – SYNGO PLAZA</w:t>
      </w:r>
      <w:bookmarkEnd w:id="4"/>
      <w:r w:rsidRPr="006A217F">
        <w:rPr>
          <w:rFonts w:ascii="Times New Roman" w:hAnsi="Times New Roman" w:cs="Times New Roman"/>
          <w:color w:val="auto"/>
          <w:sz w:val="24"/>
          <w:szCs w:val="24"/>
        </w:rPr>
        <w:t xml:space="preserve"> </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z którym należy się zintegrować</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Koszty związane z integracją </w:t>
      </w:r>
      <w:r w:rsidR="001049DA">
        <w:rPr>
          <w:rFonts w:ascii="Times New Roman" w:hAnsi="Times New Roman" w:cs="Times New Roman"/>
          <w:color w:val="auto"/>
          <w:sz w:val="24"/>
          <w:szCs w:val="24"/>
        </w:rPr>
        <w:t xml:space="preserve">z PACS </w:t>
      </w:r>
      <w:r w:rsidRPr="006A217F">
        <w:rPr>
          <w:rFonts w:ascii="Times New Roman" w:hAnsi="Times New Roman" w:cs="Times New Roman"/>
          <w:color w:val="auto"/>
          <w:sz w:val="24"/>
          <w:szCs w:val="24"/>
        </w:rPr>
        <w:t>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56311E6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6A217F" w:rsidRPr="006A217F">
        <w:rPr>
          <w:rFonts w:ascii="Times New Roman" w:hAnsi="Times New Roman" w:cs="Times New Roman"/>
          <w:color w:val="auto"/>
          <w:sz w:val="24"/>
          <w:szCs w:val="24"/>
        </w:rPr>
        <w:t>TK/MR</w:t>
      </w:r>
      <w:r w:rsidRPr="006A217F">
        <w:rPr>
          <w:rFonts w:ascii="Times New Roman" w:hAnsi="Times New Roman" w:cs="Times New Roman"/>
          <w:color w:val="auto"/>
          <w:sz w:val="24"/>
          <w:szCs w:val="24"/>
        </w:rPr>
        <w:t xml:space="preserve">: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DD3379B"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t>
      </w:r>
      <w:r w:rsidR="003248CB">
        <w:rPr>
          <w:rFonts w:ascii="Times New Roman" w:eastAsia="Lucida Sans Unicode" w:hAnsi="Times New Roman" w:cs="Times New Roman"/>
          <w:b/>
          <w:bCs/>
          <w:kern w:val="1"/>
          <w:sz w:val="24"/>
          <w:szCs w:val="24"/>
          <w:lang w:eastAsia="ar-SA"/>
        </w:rPr>
        <w:br/>
      </w:r>
      <w:r>
        <w:rPr>
          <w:rFonts w:ascii="Times New Roman" w:eastAsia="Lucida Sans Unicode" w:hAnsi="Times New Roman" w:cs="Times New Roman"/>
          <w:b/>
          <w:bCs/>
          <w:kern w:val="1"/>
          <w:sz w:val="24"/>
          <w:szCs w:val="24"/>
          <w:lang w:eastAsia="ar-SA"/>
        </w:rPr>
        <w:t xml:space="preserve">w poniższej tabeli: </w:t>
      </w:r>
    </w:p>
    <w:tbl>
      <w:tblPr>
        <w:tblW w:w="5000" w:type="pct"/>
        <w:tblCellMar>
          <w:left w:w="10" w:type="dxa"/>
          <w:right w:w="10" w:type="dxa"/>
        </w:tblCellMar>
        <w:tblLook w:val="04A0" w:firstRow="1" w:lastRow="0" w:firstColumn="1" w:lastColumn="0" w:noHBand="0" w:noVBand="1"/>
      </w:tblPr>
      <w:tblGrid>
        <w:gridCol w:w="435"/>
        <w:gridCol w:w="4682"/>
        <w:gridCol w:w="1498"/>
        <w:gridCol w:w="1511"/>
        <w:gridCol w:w="1511"/>
      </w:tblGrid>
      <w:tr w:rsidR="00BD6E03" w:rsidRPr="003248CB" w14:paraId="5594382D"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4AC2FC5F" w14:textId="3E44B12C" w:rsidR="00BD6E03" w:rsidRPr="003248CB" w:rsidRDefault="00BD6E03" w:rsidP="00BD6E03">
            <w:pPr>
              <w:pStyle w:val="Standard"/>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L.p.</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2B256" w14:textId="37A4DD1A" w:rsidR="00BD6E03" w:rsidRPr="003248CB" w:rsidRDefault="00BD6E03" w:rsidP="00BD6E03">
            <w:pPr>
              <w:pStyle w:val="Standard"/>
              <w:spacing w:after="0" w:line="240" w:lineRule="auto"/>
              <w:jc w:val="left"/>
              <w:rPr>
                <w:rFonts w:ascii="Times New Roman" w:hAnsi="Times New Roman" w:cs="Times New Roman"/>
                <w:b/>
                <w:sz w:val="24"/>
                <w:szCs w:val="24"/>
              </w:rPr>
            </w:pPr>
            <w:r w:rsidRPr="003248CB">
              <w:rPr>
                <w:rFonts w:ascii="Times New Roman" w:hAnsi="Times New Roman" w:cs="Times New Roman"/>
                <w:b/>
                <w:sz w:val="24"/>
                <w:szCs w:val="24"/>
              </w:rPr>
              <w:t>Rodzaj świadczenia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07B3C"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Szacunkowa liczba badań</w:t>
            </w:r>
          </w:p>
          <w:p w14:paraId="50B8C811"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w skali </w:t>
            </w:r>
          </w:p>
          <w:p w14:paraId="50949F83" w14:textId="2CE10CE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24 miesięcy</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841F3"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Cena jednostkowa netto za opis badania</w:t>
            </w: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E8340"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Cena jednostkowa brutto </w:t>
            </w:r>
          </w:p>
          <w:p w14:paraId="67C6ED8D" w14:textId="5BE01F52"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za opis badania</w:t>
            </w:r>
          </w:p>
        </w:tc>
      </w:tr>
      <w:tr w:rsidR="00BA64D1" w:rsidRPr="003248CB" w14:paraId="40F7C842"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23CF2E94" w14:textId="616D9C6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3BFD27" w14:textId="35589EC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TK planowe</w:t>
            </w:r>
          </w:p>
          <w:p w14:paraId="426B7CBC" w14:textId="77777777" w:rsidR="00BA64D1" w:rsidRPr="003248CB" w:rsidRDefault="00BA64D1" w:rsidP="00BA64D1">
            <w:pPr>
              <w:pStyle w:val="Standard"/>
              <w:spacing w:after="0" w:line="240" w:lineRule="auto"/>
              <w:jc w:val="left"/>
              <w:rPr>
                <w:rFonts w:ascii="Times New Roman" w:hAnsi="Times New Roman" w:cs="Times New Roman"/>
                <w:color w:val="000000" w:themeColor="text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9D21A6" w14:textId="24870604"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10 180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209F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840B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92FB712"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77A3CED0" w14:textId="60BC58B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11408" w14:textId="011AAE7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MR planowe</w:t>
            </w:r>
          </w:p>
          <w:p w14:paraId="51EA765C" w14:textId="5F6827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B8037" w14:textId="6AFE8EA2"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7200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27AD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B70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1F6C3FC"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2D94D0DB" w14:textId="6D251F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9EA1B" w14:textId="0B6144B0"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TK planowe</w:t>
            </w:r>
          </w:p>
          <w:p w14:paraId="7E26C27B" w14:textId="58D77F92"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FDD20" w14:textId="42B2CC1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10 180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D2D29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5CD0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C7A966D"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0870C2BC" w14:textId="415F74A6"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7.</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B4BEE" w14:textId="28C403B2" w:rsidR="00BA64D1" w:rsidRPr="003248CB" w:rsidRDefault="00BA64D1" w:rsidP="00BA64D1">
            <w:pPr>
              <w:pStyle w:val="Standard"/>
              <w:spacing w:after="0" w:line="240" w:lineRule="auto"/>
              <w:ind w:left="12" w:hanging="12"/>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MR</w:t>
            </w:r>
            <w:r>
              <w:rPr>
                <w:rFonts w:ascii="Times New Roman" w:hAnsi="Times New Roman" w:cs="Times New Roman"/>
                <w:color w:val="000000" w:themeColor="text1"/>
                <w:szCs w:val="21"/>
              </w:rPr>
              <w:t xml:space="preserve"> </w:t>
            </w:r>
            <w:r w:rsidRPr="003248CB">
              <w:rPr>
                <w:rFonts w:ascii="Times New Roman" w:hAnsi="Times New Roman" w:cs="Times New Roman"/>
                <w:color w:val="000000" w:themeColor="text1"/>
                <w:szCs w:val="21"/>
              </w:rPr>
              <w:t>planowe</w:t>
            </w:r>
          </w:p>
          <w:p w14:paraId="298CB883" w14:textId="3901D68D"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8F4545" w14:textId="604D910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1 500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12D1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B16E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012FAD15"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4870B89D" w14:textId="1637371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9.</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BA0AF" w14:textId="21655B6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MR serca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03390" w14:textId="1AC2D773"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6FAEC"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500E1"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111DE8B"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1CC8CF1D" w14:textId="4CC116B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11.</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C3428" w14:textId="6D1369A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TK serca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9CD14" w14:textId="3FD018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D5D5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2D42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35DEFFB"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5A12A624" w14:textId="154C4309"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13.</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38201" w14:textId="2868DDD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–MR planowe</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F28F8" w14:textId="2D5997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200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38C4F"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80DA"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64ACE68F" w14:textId="77777777" w:rsidTr="00BA64D1">
        <w:trPr>
          <w:trHeight w:val="680"/>
        </w:trPr>
        <w:tc>
          <w:tcPr>
            <w:tcW w:w="226" w:type="pct"/>
            <w:tcBorders>
              <w:top w:val="single" w:sz="4" w:space="0" w:color="000000"/>
              <w:left w:val="single" w:sz="4" w:space="0" w:color="000000"/>
              <w:bottom w:val="single" w:sz="4" w:space="0" w:color="000000"/>
            </w:tcBorders>
            <w:vAlign w:val="center"/>
          </w:tcPr>
          <w:p w14:paraId="00EAE6E3" w14:textId="484B086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c>
          <w:tcPr>
            <w:tcW w:w="242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4AA77" w14:textId="6EC1190C"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-TK planowe</w:t>
            </w:r>
          </w:p>
          <w:p w14:paraId="202CEA4D" w14:textId="581683FD" w:rsidR="00BA64D1" w:rsidRPr="003248CB" w:rsidRDefault="00BA64D1" w:rsidP="00BA64D1">
            <w:pPr>
              <w:pStyle w:val="Standard"/>
              <w:spacing w:after="0" w:line="240" w:lineRule="auto"/>
              <w:ind w:left="0" w:firstLine="0"/>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(jedna okolica anatomiczna,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-TK tętnic kończyn dolnych , tętnic szyjnych są traktowane jako jedna okolica anatomiczna)</w:t>
            </w:r>
          </w:p>
        </w:tc>
        <w:tc>
          <w:tcPr>
            <w:tcW w:w="77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55F37" w14:textId="6126A97A"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7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2B9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7A6F5"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D6E03" w:rsidRPr="003248CB" w14:paraId="75D4374B" w14:textId="77777777" w:rsidTr="00BA64D1">
        <w:trPr>
          <w:trHeight w:val="680"/>
        </w:trPr>
        <w:tc>
          <w:tcPr>
            <w:tcW w:w="226" w:type="pct"/>
            <w:tcBorders>
              <w:top w:val="single" w:sz="4" w:space="0" w:color="000000"/>
              <w:left w:val="single" w:sz="4" w:space="0" w:color="000000"/>
              <w:bottom w:val="single" w:sz="4" w:space="0" w:color="000000"/>
            </w:tcBorders>
          </w:tcPr>
          <w:p w14:paraId="189D3264" w14:textId="77777777" w:rsidR="00BD6E03" w:rsidRPr="003248CB" w:rsidRDefault="00BD6E03" w:rsidP="003248CB">
            <w:pPr>
              <w:pStyle w:val="Standard"/>
              <w:spacing w:after="0" w:line="240" w:lineRule="auto"/>
              <w:rPr>
                <w:rFonts w:ascii="Times New Roman" w:hAnsi="Times New Roman" w:cs="Times New Roman"/>
                <w:b/>
                <w:bCs/>
                <w:sz w:val="24"/>
                <w:szCs w:val="24"/>
              </w:rPr>
            </w:pPr>
          </w:p>
        </w:tc>
        <w:tc>
          <w:tcPr>
            <w:tcW w:w="320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5D2BA2" w14:textId="0DFF5CF1"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Szacunkowa cena ofertowa</w:t>
            </w:r>
          </w:p>
        </w:tc>
        <w:tc>
          <w:tcPr>
            <w:tcW w:w="7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E56FB"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Netto:</w:t>
            </w:r>
          </w:p>
          <w:p w14:paraId="4BEBD60C" w14:textId="4D3BC2BC"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c>
          <w:tcPr>
            <w:tcW w:w="784" w:type="pct"/>
            <w:tcBorders>
              <w:top w:val="single" w:sz="4" w:space="0" w:color="000000"/>
              <w:left w:val="single" w:sz="4" w:space="0" w:color="000000"/>
              <w:bottom w:val="single" w:sz="4" w:space="0" w:color="000000"/>
              <w:right w:val="single" w:sz="4" w:space="0" w:color="000000"/>
            </w:tcBorders>
            <w:vAlign w:val="center"/>
          </w:tcPr>
          <w:p w14:paraId="502C6B49"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Brutto:</w:t>
            </w:r>
          </w:p>
          <w:p w14:paraId="545FAF48" w14:textId="1DA14DA5"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r>
    </w:tbl>
    <w:p w14:paraId="0111B917" w14:textId="77777777" w:rsidR="00BA64D1" w:rsidRDefault="00BA64D1"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p>
    <w:p w14:paraId="73F8A0AE" w14:textId="23409E9D"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Pr="006A217F">
        <w:rPr>
          <w:rFonts w:ascii="Times New Roman" w:hAnsi="Times New Roman" w:cs="Times New Roman"/>
          <w:b/>
          <w:color w:val="auto"/>
          <w:sz w:val="24"/>
          <w:szCs w:val="24"/>
        </w:rPr>
        <w:t>załącznik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18C69A52"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lastRenderedPageBreak/>
        <w:t>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3A7BCF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Pr="006A217F"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w:t>
      </w:r>
      <w:r w:rsidRPr="006A217F">
        <w:rPr>
          <w:rFonts w:ascii="Times New Roman" w:hAnsi="Times New Roman" w:cs="Times New Roman"/>
          <w:color w:val="auto"/>
          <w:sz w:val="24"/>
          <w:szCs w:val="24"/>
        </w:rPr>
        <w:lastRenderedPageBreak/>
        <w:t xml:space="preserve">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Obowiązywanie umowy</w:t>
      </w:r>
    </w:p>
    <w:p w14:paraId="289509F2" w14:textId="4E85F59E"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Niniejsza Umowa zostaje zawarta na czas określony</w:t>
      </w:r>
      <w:r w:rsidR="007E0942" w:rsidRPr="006A217F">
        <w:rPr>
          <w:rFonts w:ascii="Times New Roman" w:hAnsi="Times New Roman" w:cs="Times New Roman"/>
          <w:color w:val="auto"/>
          <w:sz w:val="24"/>
          <w:szCs w:val="24"/>
        </w:rPr>
        <w:t xml:space="preserve"> – </w:t>
      </w:r>
      <w:r w:rsidR="007E0942" w:rsidRPr="009A7F3F">
        <w:rPr>
          <w:rFonts w:ascii="Times New Roman" w:hAnsi="Times New Roman" w:cs="Times New Roman"/>
          <w:b/>
          <w:bCs/>
          <w:color w:val="auto"/>
          <w:sz w:val="24"/>
          <w:szCs w:val="24"/>
        </w:rPr>
        <w:t>24 miesiące</w:t>
      </w:r>
      <w:r w:rsidRPr="006A217F">
        <w:rPr>
          <w:rFonts w:ascii="Times New Roman" w:hAnsi="Times New Roman" w:cs="Times New Roman"/>
          <w:color w:val="auto"/>
          <w:sz w:val="24"/>
          <w:szCs w:val="24"/>
        </w:rPr>
        <w:t xml:space="preserve">, począwszy od dnia </w:t>
      </w:r>
      <w:r w:rsidR="007E0942"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r. do ……………………. roku. </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5D60ACAE"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60CD6633"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dniem zakończenia udzielania objętych umową świadczeń zdrowotnych przez </w:t>
      </w:r>
    </w:p>
    <w:p w14:paraId="42D6AE4F" w14:textId="77777777" w:rsidR="0002134D" w:rsidRPr="006A217F" w:rsidRDefault="00AB236F" w:rsidP="007C4F0B">
      <w:pPr>
        <w:spacing w:after="0" w:line="240" w:lineRule="auto"/>
        <w:ind w:left="1186" w:right="0" w:hanging="1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razie zaistnienia istotnej okoliczności powodującej, że wykonanie umowy nie leży w interesie publicznym, czego nie można było przewidzieć w chwili zawarcia umowy Udzielający 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w:t>
      </w:r>
      <w:r w:rsidRPr="006A217F">
        <w:rPr>
          <w:rFonts w:ascii="Times New Roman" w:hAnsi="Times New Roman" w:cs="Times New Roman"/>
          <w:color w:val="auto"/>
          <w:sz w:val="24"/>
          <w:szCs w:val="24"/>
        </w:rPr>
        <w:lastRenderedPageBreak/>
        <w:t xml:space="preserve">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0CB40D1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49D374F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5CB8C559"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B20254B"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49B35C7"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18134858"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29C48095"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C7E5FA2"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7116D026"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0A7ACFF1" w14:textId="77777777" w:rsidR="00950033" w:rsidRPr="006A217F" w:rsidRDefault="00950033" w:rsidP="007C4F0B">
      <w:pPr>
        <w:spacing w:after="0" w:line="240" w:lineRule="auto"/>
        <w:ind w:left="-15" w:right="15" w:firstLine="0"/>
        <w:rPr>
          <w:rFonts w:ascii="Times New Roman" w:hAnsi="Times New Roman" w:cs="Times New Roman"/>
          <w:b/>
          <w:bCs/>
          <w:color w:val="auto"/>
          <w:sz w:val="24"/>
          <w:szCs w:val="24"/>
        </w:rPr>
      </w:pPr>
    </w:p>
    <w:p w14:paraId="4C389F29"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488E5F4F" w14:textId="77777777" w:rsidR="003248CB" w:rsidRDefault="003248CB" w:rsidP="007C4F0B">
      <w:pPr>
        <w:spacing w:after="0" w:line="240" w:lineRule="auto"/>
        <w:ind w:left="-15" w:right="15" w:firstLine="0"/>
        <w:rPr>
          <w:rFonts w:ascii="Times New Roman" w:hAnsi="Times New Roman" w:cs="Times New Roman"/>
          <w:b/>
          <w:bCs/>
          <w:color w:val="auto"/>
          <w:sz w:val="24"/>
          <w:szCs w:val="24"/>
        </w:rPr>
      </w:pPr>
    </w:p>
    <w:p w14:paraId="10C096D8" w14:textId="77777777" w:rsidR="003248CB" w:rsidRDefault="003248CB" w:rsidP="007C4F0B">
      <w:pPr>
        <w:spacing w:after="0" w:line="240" w:lineRule="auto"/>
        <w:ind w:left="-15" w:right="15" w:firstLine="0"/>
        <w:rPr>
          <w:rFonts w:ascii="Times New Roman" w:hAnsi="Times New Roman" w:cs="Times New Roman"/>
          <w:b/>
          <w:bCs/>
          <w:color w:val="auto"/>
          <w:sz w:val="24"/>
          <w:szCs w:val="24"/>
        </w:rPr>
      </w:pPr>
    </w:p>
    <w:p w14:paraId="33891BAB" w14:textId="346BEA43" w:rsidR="00001668" w:rsidRPr="006A217F" w:rsidRDefault="00001668" w:rsidP="006A1DAB">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 xml:space="preserve">                                                                                                       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 xml:space="preserve">o ochronie danych osobowych (Dz.U.2019.1781 </w:t>
      </w:r>
      <w:proofErr w:type="spellStart"/>
      <w:r w:rsidRPr="006A217F">
        <w:rPr>
          <w:rFonts w:ascii="Times New Roman" w:hAnsi="Times New Roman" w:cs="Times New Roman"/>
          <w:sz w:val="24"/>
          <w:szCs w:val="24"/>
        </w:rPr>
        <w:t>t.j</w:t>
      </w:r>
      <w:proofErr w:type="spellEnd"/>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689037E0"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5"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5"/>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CC3" w14:textId="77777777" w:rsidR="003C36F2" w:rsidRDefault="003C36F2">
      <w:pPr>
        <w:spacing w:after="0" w:line="240" w:lineRule="auto"/>
      </w:pPr>
      <w:r>
        <w:separator/>
      </w:r>
    </w:p>
  </w:endnote>
  <w:endnote w:type="continuationSeparator" w:id="0">
    <w:p w14:paraId="41C1937E" w14:textId="77777777" w:rsidR="003C36F2" w:rsidRDefault="003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sidR="00BD0221" w:rsidRPr="00BD022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6973" w14:textId="77777777" w:rsidR="003C36F2" w:rsidRDefault="003C36F2">
      <w:pPr>
        <w:spacing w:after="0" w:line="259" w:lineRule="auto"/>
        <w:ind w:left="0" w:right="0" w:firstLine="0"/>
        <w:jc w:val="left"/>
      </w:pPr>
      <w:r>
        <w:separator/>
      </w:r>
    </w:p>
  </w:footnote>
  <w:footnote w:type="continuationSeparator" w:id="0">
    <w:p w14:paraId="5A409C65" w14:textId="77777777" w:rsidR="003C36F2" w:rsidRDefault="003C36F2">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F28F7"/>
    <w:multiLevelType w:val="hybridMultilevel"/>
    <w:tmpl w:val="88E43D2C"/>
    <w:lvl w:ilvl="0" w:tplc="2C80A3B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465341">
    <w:abstractNumId w:val="19"/>
  </w:num>
  <w:num w:numId="2" w16cid:durableId="1544370540">
    <w:abstractNumId w:val="15"/>
  </w:num>
  <w:num w:numId="3" w16cid:durableId="802233147">
    <w:abstractNumId w:val="7"/>
  </w:num>
  <w:num w:numId="4" w16cid:durableId="1296254135">
    <w:abstractNumId w:val="26"/>
  </w:num>
  <w:num w:numId="5" w16cid:durableId="66996604">
    <w:abstractNumId w:val="18"/>
  </w:num>
  <w:num w:numId="6" w16cid:durableId="21365037">
    <w:abstractNumId w:val="0"/>
  </w:num>
  <w:num w:numId="7" w16cid:durableId="431979763">
    <w:abstractNumId w:val="13"/>
  </w:num>
  <w:num w:numId="8" w16cid:durableId="464736529">
    <w:abstractNumId w:val="4"/>
  </w:num>
  <w:num w:numId="9" w16cid:durableId="182939041">
    <w:abstractNumId w:val="23"/>
  </w:num>
  <w:num w:numId="10" w16cid:durableId="426538455">
    <w:abstractNumId w:val="12"/>
  </w:num>
  <w:num w:numId="11" w16cid:durableId="1892964229">
    <w:abstractNumId w:val="9"/>
  </w:num>
  <w:num w:numId="12" w16cid:durableId="981927537">
    <w:abstractNumId w:val="1"/>
  </w:num>
  <w:num w:numId="13" w16cid:durableId="1807769833">
    <w:abstractNumId w:val="11"/>
  </w:num>
  <w:num w:numId="14" w16cid:durableId="1407800348">
    <w:abstractNumId w:val="6"/>
    <w:lvlOverride w:ilvl="0">
      <w:startOverride w:val="1"/>
    </w:lvlOverride>
    <w:lvlOverride w:ilvl="1"/>
    <w:lvlOverride w:ilvl="2"/>
    <w:lvlOverride w:ilvl="3"/>
    <w:lvlOverride w:ilvl="4"/>
    <w:lvlOverride w:ilvl="5"/>
    <w:lvlOverride w:ilvl="6"/>
    <w:lvlOverride w:ilvl="7"/>
    <w:lvlOverride w:ilvl="8"/>
  </w:num>
  <w:num w:numId="15" w16cid:durableId="445201285">
    <w:abstractNumId w:val="21"/>
    <w:lvlOverride w:ilvl="0">
      <w:startOverride w:val="1"/>
    </w:lvlOverride>
    <w:lvlOverride w:ilvl="1"/>
    <w:lvlOverride w:ilvl="2"/>
    <w:lvlOverride w:ilvl="3"/>
    <w:lvlOverride w:ilvl="4"/>
    <w:lvlOverride w:ilvl="5"/>
    <w:lvlOverride w:ilvl="6"/>
    <w:lvlOverride w:ilvl="7"/>
    <w:lvlOverride w:ilvl="8"/>
  </w:num>
  <w:num w:numId="16" w16cid:durableId="226965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2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2263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1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9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271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791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1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8202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923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337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8281">
    <w:abstractNumId w:val="24"/>
  </w:num>
  <w:num w:numId="28" w16cid:durableId="1490321301">
    <w:abstractNumId w:val="6"/>
  </w:num>
  <w:num w:numId="29" w16cid:durableId="724304642">
    <w:abstractNumId w:val="5"/>
  </w:num>
  <w:num w:numId="30" w16cid:durableId="433981480">
    <w:abstractNumId w:val="29"/>
  </w:num>
  <w:num w:numId="31" w16cid:durableId="428159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D"/>
    <w:rsid w:val="00001668"/>
    <w:rsid w:val="0002134D"/>
    <w:rsid w:val="000F600A"/>
    <w:rsid w:val="001049DA"/>
    <w:rsid w:val="00187CF7"/>
    <w:rsid w:val="00270594"/>
    <w:rsid w:val="002B39BA"/>
    <w:rsid w:val="002D2B3E"/>
    <w:rsid w:val="0030295D"/>
    <w:rsid w:val="003248CB"/>
    <w:rsid w:val="003C36F2"/>
    <w:rsid w:val="00490ED2"/>
    <w:rsid w:val="005A127F"/>
    <w:rsid w:val="005F5553"/>
    <w:rsid w:val="006A1DAB"/>
    <w:rsid w:val="006A217F"/>
    <w:rsid w:val="007733F4"/>
    <w:rsid w:val="0078161A"/>
    <w:rsid w:val="007923E3"/>
    <w:rsid w:val="00796B97"/>
    <w:rsid w:val="007C4F0B"/>
    <w:rsid w:val="007E0942"/>
    <w:rsid w:val="00860308"/>
    <w:rsid w:val="00950033"/>
    <w:rsid w:val="009A7075"/>
    <w:rsid w:val="009A7F3F"/>
    <w:rsid w:val="009C5E5B"/>
    <w:rsid w:val="009F2218"/>
    <w:rsid w:val="00A0700C"/>
    <w:rsid w:val="00AB236F"/>
    <w:rsid w:val="00BA64D1"/>
    <w:rsid w:val="00BD0221"/>
    <w:rsid w:val="00BD6E03"/>
    <w:rsid w:val="00C65A87"/>
    <w:rsid w:val="00C86E2C"/>
    <w:rsid w:val="00CD0744"/>
    <w:rsid w:val="00DE3159"/>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EA46CA34-4E0C-4D3B-AED8-C7ABEA6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customStyle="1" w:styleId="Nierozpoznanawzmianka1">
    <w:name w:val="Nierozpoznana wzmianka1"/>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 w:type="paragraph" w:styleId="Poprawka">
    <w:name w:val="Revision"/>
    <w:hidden/>
    <w:uiPriority w:val="99"/>
    <w:semiHidden/>
    <w:rsid w:val="009C5E5B"/>
    <w:pPr>
      <w:spacing w:after="0" w:line="240" w:lineRule="auto"/>
    </w:pPr>
    <w:rPr>
      <w:rFonts w:ascii="Arial" w:eastAsia="Arial" w:hAnsi="Arial" w:cs="Arial"/>
      <w:color w:val="000000"/>
      <w:sz w:val="21"/>
    </w:rPr>
  </w:style>
  <w:style w:type="paragraph" w:styleId="Tekstdymka">
    <w:name w:val="Balloon Text"/>
    <w:basedOn w:val="Normalny"/>
    <w:link w:val="TekstdymkaZnak"/>
    <w:uiPriority w:val="99"/>
    <w:semiHidden/>
    <w:unhideWhenUsed/>
    <w:rsid w:val="00BD0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21"/>
    <w:rPr>
      <w:rFonts w:ascii="Tahoma" w:eastAsia="Arial" w:hAnsi="Tahoma" w:cs="Tahoma"/>
      <w:color w:val="000000"/>
      <w:sz w:val="16"/>
      <w:szCs w:val="16"/>
    </w:rPr>
  </w:style>
  <w:style w:type="paragraph" w:customStyle="1" w:styleId="Standard">
    <w:name w:val="Standard"/>
    <w:rsid w:val="003248CB"/>
    <w:pPr>
      <w:suppressAutoHyphens/>
      <w:autoSpaceDN w:val="0"/>
      <w:spacing w:after="5" w:line="384" w:lineRule="auto"/>
      <w:ind w:left="438" w:right="1" w:hanging="438"/>
      <w:jc w:val="both"/>
      <w:textAlignment w:val="baseline"/>
    </w:pPr>
    <w:rPr>
      <w:rFonts w:ascii="Arial" w:eastAsia="Arial" w:hAnsi="Arial" w:cs="Arial"/>
      <w:color w:val="000000"/>
      <w:kern w:val="3"/>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2CCD-AC51-4CCD-BF3A-549DA52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8677</Words>
  <Characters>52067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Sauron</dc:creator>
  <cp:lastModifiedBy>Przemysław Bogdanowicz</cp:lastModifiedBy>
  <cp:revision>6</cp:revision>
  <dcterms:created xsi:type="dcterms:W3CDTF">2023-10-04T07:27:00Z</dcterms:created>
  <dcterms:modified xsi:type="dcterms:W3CDTF">2023-12-19T12:36:00Z</dcterms:modified>
</cp:coreProperties>
</file>