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43E2963"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044A11">
        <w:rPr>
          <w:rFonts w:ascii="Times New Roman" w:eastAsia="Calibri" w:hAnsi="Times New Roman" w:cs="Times New Roman"/>
          <w:b/>
          <w:bCs/>
          <w:noProof w:val="0"/>
          <w:sz w:val="24"/>
          <w:szCs w:val="24"/>
        </w:rPr>
        <w:t>wyrobów medycznych specjalistycznych – dla Pracowni Hemodynamiki, Pracowni Elektrofizjologii, Pracowni Badań i Zabiegów Naczyniowych</w:t>
      </w:r>
      <w:r w:rsidR="007F1099">
        <w:rPr>
          <w:rFonts w:ascii="Times New Roman" w:eastAsia="Calibri" w:hAnsi="Times New Roman" w:cs="Times New Roman"/>
          <w:b/>
          <w:bCs/>
          <w:noProof w:val="0"/>
          <w:sz w:val="24"/>
          <w:szCs w:val="24"/>
        </w:rPr>
        <w:t>, Oddziału Neurochirurgii, Oddziału Otorynolaryngologii</w:t>
      </w:r>
      <w:r w:rsidR="00044A11">
        <w:rPr>
          <w:rFonts w:ascii="Times New Roman" w:eastAsia="Calibri" w:hAnsi="Times New Roman" w:cs="Times New Roman"/>
          <w:b/>
          <w:bCs/>
          <w:noProof w:val="0"/>
          <w:sz w:val="24"/>
          <w:szCs w:val="24"/>
        </w:rPr>
        <w:t xml:space="preserve">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56EA3AEA"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A96592" w:rsidRPr="00A96592">
        <w:rPr>
          <w:rFonts w:ascii="Times New Roman" w:eastAsia="Calibri" w:hAnsi="Times New Roman" w:cs="Times New Roman"/>
          <w:b/>
          <w:bCs/>
          <w:noProof w:val="0"/>
          <w:sz w:val="24"/>
          <w:szCs w:val="24"/>
        </w:rPr>
        <w:t xml:space="preserve">Apteka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 xml:space="preserve">do godziny 11:00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4ABACF89"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AB6537" w:rsidRPr="00AB6537">
          <w:rPr>
            <w:rStyle w:val="Hipercze"/>
            <w:rFonts w:ascii="Times New Roman" w:eastAsia="Times New Roman" w:hAnsi="Times New Roman" w:cs="Times New Roman"/>
            <w:b/>
            <w:bCs/>
            <w:noProof w:val="0"/>
            <w:sz w:val="24"/>
            <w:szCs w:val="24"/>
            <w:lang w:eastAsia="pl-PL"/>
          </w:rPr>
          <w:t>fakturyapteka@spzoz.jgora.pl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3F9F378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7BA82D2" w14:textId="71287B9B" w:rsidR="0019287B" w:rsidRPr="0019287B" w:rsidRDefault="0019287B" w:rsidP="0019287B">
      <w:pPr>
        <w:pStyle w:val="Akapitzlist"/>
        <w:numPr>
          <w:ilvl w:val="0"/>
          <w:numId w:val="24"/>
        </w:numPr>
        <w:ind w:left="284" w:hanging="426"/>
        <w:jc w:val="both"/>
        <w:rPr>
          <w:rFonts w:ascii="Times New Roman" w:eastAsia="Calibri" w:hAnsi="Times New Roman" w:cs="Times New Roman"/>
          <w:noProof w:val="0"/>
          <w:sz w:val="24"/>
          <w:szCs w:val="24"/>
        </w:rPr>
      </w:pPr>
      <w:r w:rsidRPr="0019287B">
        <w:rPr>
          <w:rFonts w:ascii="Times New Roman" w:eastAsia="Calibri" w:hAnsi="Times New Roman" w:cs="Times New Roman"/>
          <w:noProof w:val="0"/>
          <w:sz w:val="24"/>
          <w:szCs w:val="24"/>
        </w:rPr>
        <w:t>Żadna ze stron nie będzie odpowiedzialna za niewykonanie lub nienależyte wykonanie zobowiązań wynikających z Umowy spowodowane przez okoliczności niewynikające z winy danej Strony, w szczególności za okoliczności traktowane jako Siła Wyższa. W razie zaistnienia utrudnień w wykonaniu umowy na skutek działania Siły Wyższej w szczególności nie nalicza się przewidzianych kar umownych ani nie obciąża się drugiej strony umowy kosztami zakupów zastępczych</w:t>
      </w:r>
      <w:r>
        <w:rPr>
          <w:rFonts w:ascii="Times New Roman" w:eastAsia="Calibri" w:hAnsi="Times New Roman" w:cs="Times New Roman"/>
          <w:noProof w:val="0"/>
          <w:sz w:val="24"/>
          <w:szCs w:val="24"/>
        </w:rPr>
        <w:t xml:space="preserve">. </w:t>
      </w:r>
    </w:p>
    <w:p w14:paraId="5A2201B8" w14:textId="77777777" w:rsidR="0019287B" w:rsidRDefault="0019287B" w:rsidP="0019287B">
      <w:pPr>
        <w:pStyle w:val="Akapitzlist"/>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wysokości minimalnego wynagrodzenia za pracę ustalonego na podstawie art. 2 ust. 3 – 5 ustawy z dnia 10 października 2002 r. o minimalnym </w:t>
      </w:r>
      <w:r w:rsidRPr="008E62B8">
        <w:rPr>
          <w:rFonts w:ascii="Times New Roman" w:hAnsi="Times New Roman" w:cs="Times New Roman"/>
          <w:sz w:val="24"/>
          <w:szCs w:val="24"/>
        </w:rPr>
        <w:lastRenderedPageBreak/>
        <w:t>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lastRenderedPageBreak/>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lastRenderedPageBreak/>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29F45E7" w14:textId="77777777" w:rsidR="004E1DC3" w:rsidRDefault="004E1DC3"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p>
    <w:p w14:paraId="6746E9B0" w14:textId="77777777" w:rsidR="004E1DC3" w:rsidRDefault="004E1DC3"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p>
    <w:p w14:paraId="43CD0874" w14:textId="73498A2E"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6D22939E"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628616B2" w14:textId="4D21A612"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EECE099" w14:textId="0071222E"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F38F4F6" w14:textId="171A4854"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6557E04" w14:textId="78D04A2F"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9BAF6CA" w14:textId="449A9E31"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AB38C79" w14:textId="5520F385"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C2B0F01" w14:textId="4AEB8376"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481F2780" w14:textId="6E3B26F9"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E53179D" w14:textId="04BDD74D"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01F962CB" w14:textId="574FB39A"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7A9FB15" w14:textId="3F1220D5"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5825ACE" w14:textId="64E258FD"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A7CDF0A" w14:textId="03856983"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02D8921" w14:textId="5DF275DA"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9A0153F" w14:textId="4D5BDEB0"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587AE6BE" w14:textId="7DF2FAEF"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6D91A2F3" w14:textId="0725357F"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9820E4C" w14:textId="4D6B4630"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27706B57" w14:textId="1ED2C286"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167D40F6" w14:textId="5E31CC45"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37766808" w14:textId="5481C323"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p>
    <w:p w14:paraId="736883B1" w14:textId="77777777" w:rsidR="00F8242F" w:rsidRDefault="00F8242F" w:rsidP="00F8242F">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0B91235A" w14:textId="77777777" w:rsidR="00F8242F" w:rsidRDefault="00F8242F" w:rsidP="00F8242F">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5A05E585" w14:textId="77777777" w:rsidR="00F8242F" w:rsidRDefault="00F8242F" w:rsidP="00F8242F">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2F431781" w14:textId="77777777" w:rsidR="00F8242F" w:rsidRDefault="00F8242F" w:rsidP="00F8242F">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3BE970D4" w14:textId="77777777" w:rsidR="00F8242F" w:rsidRDefault="00F8242F" w:rsidP="00F8242F">
      <w:pPr>
        <w:spacing w:before="120" w:after="80" w:line="240" w:lineRule="auto"/>
        <w:jc w:val="both"/>
        <w:rPr>
          <w:rFonts w:ascii="Times New Roman" w:hAnsi="Times New Roman"/>
          <w:sz w:val="24"/>
          <w:szCs w:val="24"/>
        </w:rPr>
      </w:pPr>
    </w:p>
    <w:p w14:paraId="059A3B01"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08D63B81"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1DB588CD"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584DD825"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3D69DBB5"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211E878C" w14:textId="77777777" w:rsidR="00F8242F" w:rsidRDefault="00F8242F" w:rsidP="00F8242F">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2B42C2B4" w14:textId="77777777" w:rsidR="00F8242F" w:rsidRDefault="00F8242F" w:rsidP="00F8242F">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3B3439C0" w14:textId="77777777" w:rsidR="00F8242F" w:rsidRDefault="00F8242F" w:rsidP="00F8242F">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5D9843BB" w14:textId="77777777" w:rsidR="00F8242F" w:rsidRDefault="00F8242F" w:rsidP="00F8242F">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356B33A0"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6CA86108"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129F5CEE"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06BCD508"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15453AB9" w14:textId="77777777" w:rsidR="00F8242F" w:rsidRDefault="00F8242F" w:rsidP="00F8242F">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1BEA8222" w14:textId="77777777" w:rsidR="00F8242F" w:rsidRDefault="00F8242F" w:rsidP="00F8242F">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0E8F0B4D" w14:textId="77777777" w:rsidR="00F8242F" w:rsidRDefault="00F8242F" w:rsidP="00F8242F">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20B13E40" w14:textId="77777777" w:rsidR="00F8242F" w:rsidRDefault="00F8242F" w:rsidP="00F8242F">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4AADD658"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0A04D78C"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76CDC6B6"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F4D1E71"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5C95A54C"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73F3430D"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6603FE2"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457FAC2D"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4DFD037A" w14:textId="77777777" w:rsidR="00F8242F" w:rsidRDefault="00F8242F" w:rsidP="00F8242F">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7E7B43F2" w14:textId="77777777" w:rsidR="00F8242F" w:rsidRDefault="00F8242F" w:rsidP="00F8242F">
      <w:pPr>
        <w:spacing w:before="120" w:after="80" w:line="240" w:lineRule="auto"/>
        <w:jc w:val="both"/>
        <w:rPr>
          <w:rFonts w:ascii="Times New Roman" w:hAnsi="Times New Roman"/>
          <w:sz w:val="24"/>
          <w:szCs w:val="24"/>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59EA98F1" w14:textId="77777777" w:rsidR="00F8242F" w:rsidRDefault="00F8242F" w:rsidP="00F8242F">
      <w:pPr>
        <w:shd w:val="clear" w:color="auto" w:fill="FFFFFF"/>
        <w:tabs>
          <w:tab w:val="left" w:pos="5650"/>
        </w:tabs>
        <w:ind w:left="5"/>
        <w:jc w:val="right"/>
        <w:rPr>
          <w:rFonts w:ascii="Times New Roman" w:hAnsi="Times New Roman"/>
          <w:b/>
          <w:spacing w:val="-5"/>
          <w:sz w:val="24"/>
          <w:szCs w:val="24"/>
          <w:lang w:eastAsia="pl-PL"/>
        </w:rPr>
      </w:pPr>
    </w:p>
    <w:p w14:paraId="17FA4379" w14:textId="77777777" w:rsidR="00F8242F" w:rsidRDefault="00F8242F" w:rsidP="00F8242F">
      <w:pPr>
        <w:shd w:val="clear" w:color="auto" w:fill="FFFFFF"/>
        <w:tabs>
          <w:tab w:val="left" w:pos="5650"/>
        </w:tabs>
        <w:ind w:left="5"/>
        <w:jc w:val="right"/>
        <w:rPr>
          <w:rFonts w:ascii="Times New Roman" w:hAnsi="Times New Roman"/>
          <w:b/>
          <w:spacing w:val="-5"/>
          <w:sz w:val="24"/>
          <w:szCs w:val="24"/>
          <w:lang w:eastAsia="pl-PL"/>
        </w:rPr>
      </w:pPr>
    </w:p>
    <w:p w14:paraId="1127F374" w14:textId="44B36588" w:rsidR="00F8242F" w:rsidRDefault="00F8242F"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bookmarkStart w:id="6" w:name="_GoBack"/>
      <w:bookmarkEnd w:id="6"/>
    </w:p>
    <w:p w14:paraId="314AFBAF" w14:textId="77777777" w:rsidR="00F8242F" w:rsidRDefault="00F8242F"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F824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9287B"/>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87460"/>
    <w:rsid w:val="004A212B"/>
    <w:rsid w:val="004A2CCB"/>
    <w:rsid w:val="004A64CE"/>
    <w:rsid w:val="004B139D"/>
    <w:rsid w:val="004B76AD"/>
    <w:rsid w:val="004C02BD"/>
    <w:rsid w:val="004C2339"/>
    <w:rsid w:val="004C2C3F"/>
    <w:rsid w:val="004D5BE9"/>
    <w:rsid w:val="004E1DC3"/>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242F"/>
    <w:rsid w:val="00F8531A"/>
    <w:rsid w:val="00F95D7C"/>
    <w:rsid w:val="00FA0998"/>
    <w:rsid w:val="00FA2EE1"/>
    <w:rsid w:val="00FB540A"/>
    <w:rsid w:val="00FC0843"/>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987321262">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61BC-819B-4168-B39E-C6A950F1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5785</Words>
  <Characters>34716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67</cp:revision>
  <cp:lastPrinted>2021-05-25T09:57:00Z</cp:lastPrinted>
  <dcterms:created xsi:type="dcterms:W3CDTF">2023-02-27T11:23:00Z</dcterms:created>
  <dcterms:modified xsi:type="dcterms:W3CDTF">2024-03-28T08:46:00Z</dcterms:modified>
</cp:coreProperties>
</file>