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F680" w14:textId="3D4EDCF3" w:rsidR="00D0550D" w:rsidRPr="00D0550D" w:rsidRDefault="00D0550D" w:rsidP="00D34CB0">
      <w:pPr>
        <w:keepNext/>
        <w:keepLines/>
        <w:jc w:val="right"/>
      </w:pPr>
      <w:r>
        <w:t xml:space="preserve">Opole, </w:t>
      </w:r>
      <w:r w:rsidR="00D34CB0">
        <w:t>05.10</w:t>
      </w:r>
      <w:r>
        <w:t>.2020r.</w:t>
      </w:r>
    </w:p>
    <w:p w14:paraId="3F1157EF" w14:textId="3290CECA" w:rsidR="00942FD2" w:rsidRPr="00D0550D" w:rsidRDefault="00D0550D" w:rsidP="00D34CB0">
      <w:pPr>
        <w:keepNext/>
        <w:keepLines/>
        <w:spacing w:after="60"/>
        <w:jc w:val="center"/>
        <w:rPr>
          <w:b/>
          <w:bCs/>
          <w:sz w:val="28"/>
          <w:szCs w:val="28"/>
        </w:rPr>
      </w:pPr>
      <w:r w:rsidRPr="00D0550D">
        <w:rPr>
          <w:b/>
          <w:bCs/>
          <w:sz w:val="28"/>
          <w:szCs w:val="28"/>
        </w:rPr>
        <w:t>Opis przedmiotu zamówienia na potrzeby szacowania wartości zamówienia</w:t>
      </w:r>
    </w:p>
    <w:p w14:paraId="3B52C220" w14:textId="41C1601B" w:rsidR="00D0550D" w:rsidRDefault="00D0550D" w:rsidP="00D34CB0">
      <w:pPr>
        <w:keepNext/>
        <w:keepLine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pn.: „Dostawa pojemników do selektywnej zbiórki odpadów komunalnych”</w:t>
      </w:r>
    </w:p>
    <w:p w14:paraId="3F790DF7" w14:textId="09705A1F" w:rsidR="00D0550D" w:rsidRPr="00D34CB0" w:rsidRDefault="00D0550D" w:rsidP="00D34CB0">
      <w:pPr>
        <w:pStyle w:val="SIWZNAGWEKPUNKTY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mallCap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Rodzaje oraz ilości pojemników: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127"/>
      </w:tblGrid>
      <w:tr w:rsidR="00D34CB0" w:rsidRPr="00071D12" w14:paraId="417DD177" w14:textId="77777777" w:rsidTr="007F48D5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D3017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Hlk52449433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0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odzaj pojemników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AA977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0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ielkość pojemnik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ów, [litry]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3FC2B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0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 poj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emników</w:t>
            </w:r>
            <w:r w:rsidRPr="000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[szt.]</w:t>
            </w:r>
          </w:p>
        </w:tc>
      </w:tr>
      <w:tr w:rsidR="00D34CB0" w:rsidRPr="00071D12" w14:paraId="31562CBC" w14:textId="77777777" w:rsidTr="007F48D5">
        <w:trPr>
          <w:trHeight w:val="559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A5E3" w14:textId="77777777" w:rsidR="00D34CB0" w:rsidRPr="009F6D60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na </w:t>
            </w:r>
            <w:r w:rsidRPr="009F6D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metale i </w:t>
            </w: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tworzywa sztuczne</w:t>
            </w:r>
            <w:r w:rsidRPr="009F6D60">
              <w:rPr>
                <w:rFonts w:ascii="Calibri" w:eastAsia="Times New Roman" w:hAnsi="Calibri" w:cs="Calibri"/>
                <w:color w:val="000000"/>
                <w:lang w:eastAsia="pl-PL"/>
              </w:rPr>
              <w:t>, w tym odpady opakowaniowe z metali, odpady tworzyw sztucznych, odpady opakowaniowe tworzyw sztucznych oraz odpady opakowaniowe wielomateriałowe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42BDBF45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F6D60">
              <w:rPr>
                <w:rFonts w:ascii="Calibri" w:eastAsia="Times New Roman" w:hAnsi="Calibri" w:cs="Calibri"/>
                <w:color w:val="000000"/>
                <w:lang w:eastAsia="pl-PL"/>
              </w:rPr>
              <w:t>olor pojemnika żółty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90B0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283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</w:tr>
      <w:tr w:rsidR="00D34CB0" w:rsidRPr="00071D12" w14:paraId="4C60B342" w14:textId="77777777" w:rsidTr="007F48D5">
        <w:trPr>
          <w:trHeight w:val="525"/>
        </w:trPr>
        <w:tc>
          <w:tcPr>
            <w:tcW w:w="453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E669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3A3D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5CF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661</w:t>
            </w:r>
          </w:p>
        </w:tc>
      </w:tr>
      <w:tr w:rsidR="00D34CB0" w:rsidRPr="00071D12" w14:paraId="755C39BA" w14:textId="77777777" w:rsidTr="007F48D5">
        <w:trPr>
          <w:trHeight w:val="547"/>
        </w:trPr>
        <w:tc>
          <w:tcPr>
            <w:tcW w:w="453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DBBF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F006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483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D34CB0" w:rsidRPr="00071D12" w14:paraId="01586E31" w14:textId="77777777" w:rsidTr="007F48D5">
        <w:trPr>
          <w:trHeight w:val="569"/>
        </w:trPr>
        <w:tc>
          <w:tcPr>
            <w:tcW w:w="45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8363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5FAE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73A6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D34CB0" w:rsidRPr="00071D12" w14:paraId="1FBB9CC1" w14:textId="77777777" w:rsidTr="007F48D5">
        <w:trPr>
          <w:trHeight w:val="53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FAD5" w14:textId="77777777" w:rsidR="00D34CB0" w:rsidRPr="009F6D60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Pojemniki na papier</w:t>
            </w:r>
            <w:r w:rsidRPr="009F6D60">
              <w:rPr>
                <w:rFonts w:ascii="Calibri" w:eastAsia="Times New Roman" w:hAnsi="Calibri" w:cs="Calibri"/>
                <w:color w:val="000000"/>
                <w:lang w:eastAsia="pl-PL"/>
              </w:rPr>
              <w:t>, w tym tektury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9F6D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odpady opakowaniowe z papieru i odpady opakowaniowe z tektury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F6D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3AE9D96" w14:textId="77777777" w:rsidR="00D34CB0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F6D60">
              <w:rPr>
                <w:rFonts w:ascii="Calibri" w:eastAsia="Times New Roman" w:hAnsi="Calibri" w:cs="Calibri"/>
                <w:color w:val="000000"/>
                <w:lang w:eastAsia="pl-PL"/>
              </w:rPr>
              <w:t>olor pojemnika niebieski</w:t>
            </w:r>
          </w:p>
          <w:p w14:paraId="6CE0717C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94C2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A47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1 440</w:t>
            </w:r>
          </w:p>
        </w:tc>
      </w:tr>
      <w:tr w:rsidR="00D34CB0" w:rsidRPr="00071D12" w14:paraId="7B27BEE9" w14:textId="77777777" w:rsidTr="007F48D5">
        <w:trPr>
          <w:trHeight w:val="547"/>
        </w:trPr>
        <w:tc>
          <w:tcPr>
            <w:tcW w:w="453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4C1C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D09E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46BE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661</w:t>
            </w:r>
          </w:p>
        </w:tc>
      </w:tr>
      <w:tr w:rsidR="00D34CB0" w:rsidRPr="00071D12" w14:paraId="402BCE88" w14:textId="77777777" w:rsidTr="007F48D5">
        <w:trPr>
          <w:trHeight w:val="569"/>
        </w:trPr>
        <w:tc>
          <w:tcPr>
            <w:tcW w:w="453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F352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623C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2A5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1D1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34CB0" w:rsidRPr="00071D12" w14:paraId="432E108A" w14:textId="77777777" w:rsidTr="007F48D5">
        <w:trPr>
          <w:trHeight w:val="569"/>
        </w:trPr>
        <w:tc>
          <w:tcPr>
            <w:tcW w:w="45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0208" w14:textId="77777777" w:rsidR="00D34CB0" w:rsidRPr="00071D12" w:rsidRDefault="00D34CB0" w:rsidP="00D34CB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E9D0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A29B" w14:textId="77777777" w:rsidR="00D34CB0" w:rsidRPr="00071D12" w:rsidRDefault="00D34CB0" w:rsidP="00D34CB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</w:tbl>
    <w:bookmarkEnd w:id="0"/>
    <w:p w14:paraId="4052AF19" w14:textId="557D3578" w:rsidR="00D0550D" w:rsidRPr="00D0550D" w:rsidRDefault="00D0550D" w:rsidP="00D34CB0">
      <w:pPr>
        <w:pStyle w:val="SIWZNAGWEKPUNKTY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mallCaps/>
          <w:color w:val="000000"/>
          <w:sz w:val="24"/>
          <w:szCs w:val="24"/>
        </w:rPr>
      </w:pPr>
      <w:r w:rsidRPr="00D0550D">
        <w:rPr>
          <w:rFonts w:cstheme="minorHAnsi"/>
          <w:bCs/>
          <w:sz w:val="24"/>
          <w:szCs w:val="24"/>
        </w:rPr>
        <w:t xml:space="preserve">Pojemniki stanowiące przedmiot zamówienia muszą cechować się następującymi właściwościami: </w:t>
      </w:r>
    </w:p>
    <w:p w14:paraId="392C915C" w14:textId="4A62585B" w:rsidR="00D34CB0" w:rsidRPr="00476D25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kolorystyka zgodnie z obowiązującymi przepisami oraz pkt. 1 powyżej,</w:t>
      </w:r>
    </w:p>
    <w:p w14:paraId="7DD137FB" w14:textId="77777777" w:rsidR="00D34CB0" w:rsidRPr="00DA0974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wykonane metodą wtryskową z polietylenu niskociśnieniowego wysokiej gęstości (PEHD) z nowego granulatu,</w:t>
      </w:r>
    </w:p>
    <w:p w14:paraId="5E5D95E9" w14:textId="77777777" w:rsidR="00D34CB0" w:rsidRPr="00F258A1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 xml:space="preserve">pojemniki muszą posiadać standardową </w:t>
      </w:r>
      <w:r w:rsidRPr="00DA0974">
        <w:rPr>
          <w:rFonts w:cstheme="minorHAnsi"/>
          <w:bCs/>
        </w:rPr>
        <w:t>pokrywę (bez otworu wrzutowego w pokrywie)</w:t>
      </w:r>
      <w:r>
        <w:rPr>
          <w:rFonts w:cstheme="minorHAnsi"/>
          <w:bCs/>
        </w:rPr>
        <w:t xml:space="preserve"> z uchwytami ułatwiającymi jej podnoszenie,</w:t>
      </w:r>
    </w:p>
    <w:p w14:paraId="474D040E" w14:textId="77777777" w:rsidR="00D34CB0" w:rsidRPr="00A96A3C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pojemniki 120 l, 240 l, 360 l muszą być wyposażone w dwa koła jezdne o średnicy ok. 20 cm wykonane z litej gumy umożliwiające sprawne i ciche przemieszczanie pojemnika,</w:t>
      </w:r>
    </w:p>
    <w:p w14:paraId="70A162F3" w14:textId="77777777" w:rsidR="00D34CB0" w:rsidRPr="00B128A3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 w:rsidRPr="00A96A3C">
        <w:rPr>
          <w:rFonts w:cstheme="minorHAnsi"/>
          <w:bCs/>
        </w:rPr>
        <w:t>pojemniki 1100 l muszą być wyposażone w cztery koła jezdne o średnicy ok. 20 cm wykonane z litej gumy umożliwiające sprawne i ciche przemieszczanie pojemnika, uchwyty kół muszą być stalowe, dwa koła muszą być wyposażone w blokadę,</w:t>
      </w:r>
    </w:p>
    <w:p w14:paraId="7A5E0A9F" w14:textId="77777777" w:rsidR="00D34CB0" w:rsidRPr="00460A5F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pojemniki 1100 l muszą być wyposażone w uchwyty umożliwiające sprawne przemieszczanie oraz korek drenażowy w dnie ułatwiający mycie i czyszczenie pojemnika,</w:t>
      </w:r>
    </w:p>
    <w:p w14:paraId="04CA69D4" w14:textId="77777777" w:rsidR="00D34CB0" w:rsidRPr="00590A4C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przystosowane do mechanicznego opróżniania przez śmieciarki - rozładunek grzebieniowy,</w:t>
      </w:r>
    </w:p>
    <w:p w14:paraId="644AAB6D" w14:textId="77777777" w:rsidR="00D34CB0" w:rsidRPr="00754E3E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odporne na działanie czynników atmosferycznych (wysokie i niskie temperatury, mróz, deszcz), środki chemiczne, promieniowania UV,</w:t>
      </w:r>
    </w:p>
    <w:p w14:paraId="1F9F6465" w14:textId="77777777" w:rsidR="00D34CB0" w:rsidRPr="00754E3E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części metalowe muszą być odporne na korozję,</w:t>
      </w:r>
    </w:p>
    <w:p w14:paraId="40DB2A78" w14:textId="77777777" w:rsidR="00D34CB0" w:rsidRPr="00754E3E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być fabrycznie wyposażone w gniazdo na chip lokalizacyjny,</w:t>
      </w:r>
    </w:p>
    <w:p w14:paraId="32F904C7" w14:textId="77777777" w:rsidR="00D34CB0" w:rsidRPr="00590A4C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materiał, z którego są wykonane pojemniki musi się nadawać do recyklingu,</w:t>
      </w:r>
    </w:p>
    <w:p w14:paraId="16390F33" w14:textId="77777777" w:rsidR="00D34CB0" w:rsidRPr="00590A4C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lastRenderedPageBreak/>
        <w:t>muszą posiadać certyfikat wydany przez uprawnioną do certyfikowania jednostkę, potwierdzający zgodność produktu z wymaganiami norm EN 840 oraz RAL-GZ 951/1,</w:t>
      </w:r>
    </w:p>
    <w:p w14:paraId="2608E741" w14:textId="77777777" w:rsidR="00D34CB0" w:rsidRPr="00476D25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atest PZH,</w:t>
      </w:r>
    </w:p>
    <w:p w14:paraId="3E9C6648" w14:textId="77777777" w:rsidR="00D34CB0" w:rsidRPr="00A0792A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muszą posiadać deklarację zgodności CE</w:t>
      </w:r>
      <w:r w:rsidRPr="00A0792A">
        <w:rPr>
          <w:rFonts w:cstheme="minorHAnsi"/>
          <w:bCs/>
        </w:rPr>
        <w:t>,</w:t>
      </w:r>
    </w:p>
    <w:p w14:paraId="110C9E71" w14:textId="77777777" w:rsidR="00D34CB0" w:rsidRPr="00D34CB0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contextualSpacing w:val="0"/>
        <w:jc w:val="both"/>
        <w:rPr>
          <w:rFonts w:cstheme="minorHAnsi"/>
          <w:smallCaps/>
          <w:color w:val="000000"/>
        </w:rPr>
      </w:pPr>
      <w:r w:rsidRPr="006628C0">
        <w:rPr>
          <w:rFonts w:cstheme="minorHAnsi"/>
          <w:bCs/>
        </w:rPr>
        <w:t xml:space="preserve">pojemniki muszą być odpowiednio oznaczone zgodnie z Rozporządzeniem Ministra Środowiska z dn. 29.12.2016r. w sprawie </w:t>
      </w:r>
      <w:r w:rsidRPr="00D34CB0">
        <w:rPr>
          <w:rFonts w:cstheme="minorHAnsi"/>
          <w:bCs/>
        </w:rPr>
        <w:t xml:space="preserve">szczegółowego sposobu selektywnego zbierania wybranych frakcji odpadów: pojemnik żółty – napis </w:t>
      </w:r>
      <w:r w:rsidRPr="00D34CB0">
        <w:rPr>
          <w:rFonts w:cstheme="minorHAnsi"/>
          <w:b/>
        </w:rPr>
        <w:t>„Tworzywa sztuczne i metale”</w:t>
      </w:r>
      <w:r w:rsidRPr="00D34CB0">
        <w:rPr>
          <w:rFonts w:cstheme="minorHAnsi"/>
          <w:bCs/>
        </w:rPr>
        <w:t xml:space="preserve">, pojemnik niebieski – napis </w:t>
      </w:r>
      <w:r w:rsidRPr="00D34CB0">
        <w:rPr>
          <w:rFonts w:cstheme="minorHAnsi"/>
          <w:b/>
        </w:rPr>
        <w:t>„Papier”</w:t>
      </w:r>
      <w:r w:rsidRPr="00D34CB0">
        <w:rPr>
          <w:rFonts w:cstheme="minorHAnsi"/>
          <w:bCs/>
        </w:rPr>
        <w:t xml:space="preserve">. </w:t>
      </w:r>
    </w:p>
    <w:p w14:paraId="5C2DF86C" w14:textId="39E46D8E" w:rsidR="00D0550D" w:rsidRPr="00D34CB0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cstheme="minorHAnsi"/>
          <w:smallCaps/>
          <w:color w:val="000000"/>
        </w:rPr>
      </w:pPr>
      <w:r w:rsidRPr="00D34CB0">
        <w:rPr>
          <w:rFonts w:cstheme="minorHAnsi"/>
          <w:bCs/>
        </w:rPr>
        <w:t xml:space="preserve">Napisy </w:t>
      </w:r>
      <w:r w:rsidRPr="00D34CB0">
        <w:rPr>
          <w:rFonts w:cstheme="minorHAnsi"/>
          <w:b/>
          <w:bCs/>
        </w:rPr>
        <w:t>muszą być</w:t>
      </w:r>
      <w:r w:rsidRPr="00D34CB0">
        <w:rPr>
          <w:rFonts w:cstheme="minorHAnsi"/>
          <w:bCs/>
        </w:rPr>
        <w:t xml:space="preserve"> wykonane w wielkości i kolorze umożliwiającym szybką identyfikację przeznaczenia pojemnika do segregacji odpadów. Napisy muszą być naniesione w sposób trwały tj. metodą </w:t>
      </w:r>
      <w:proofErr w:type="spellStart"/>
      <w:r w:rsidRPr="00D34CB0">
        <w:rPr>
          <w:rFonts w:cstheme="minorHAnsi"/>
          <w:bCs/>
        </w:rPr>
        <w:t>termodruku</w:t>
      </w:r>
      <w:proofErr w:type="spellEnd"/>
      <w:r w:rsidRPr="00D34CB0">
        <w:rPr>
          <w:rFonts w:cstheme="minorHAnsi"/>
          <w:bCs/>
        </w:rPr>
        <w:t>. Nie dopuszcza się opisu w formie naklejek.</w:t>
      </w:r>
    </w:p>
    <w:p w14:paraId="0B4BB9E7" w14:textId="67134674" w:rsidR="00D34CB0" w:rsidRPr="00D34CB0" w:rsidRDefault="00D34CB0" w:rsidP="00D34CB0">
      <w:pPr>
        <w:pStyle w:val="Akapitzlist"/>
        <w:keepNext/>
        <w:keepLines/>
        <w:numPr>
          <w:ilvl w:val="3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Gwarancja – min. 12 m-</w:t>
      </w:r>
      <w:proofErr w:type="spellStart"/>
      <w:r>
        <w:rPr>
          <w:rFonts w:cstheme="minorHAnsi"/>
          <w:bCs/>
        </w:rPr>
        <w:t>cy</w:t>
      </w:r>
      <w:proofErr w:type="spellEnd"/>
      <w:r>
        <w:rPr>
          <w:rFonts w:cstheme="minorHAnsi"/>
          <w:bCs/>
        </w:rPr>
        <w:t>.</w:t>
      </w:r>
    </w:p>
    <w:p w14:paraId="58A441FE" w14:textId="4BA18136" w:rsidR="006628C0" w:rsidRPr="00D34CB0" w:rsidRDefault="006628C0" w:rsidP="00D34CB0">
      <w:pPr>
        <w:pStyle w:val="SIWZNAGWEKPUNKTY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mallCaps/>
          <w:color w:val="000000"/>
          <w:sz w:val="24"/>
          <w:szCs w:val="24"/>
        </w:rPr>
      </w:pPr>
      <w:r w:rsidRPr="00D34CB0">
        <w:rPr>
          <w:rFonts w:cstheme="minorHAnsi"/>
          <w:bCs/>
          <w:sz w:val="24"/>
          <w:szCs w:val="24"/>
        </w:rPr>
        <w:t xml:space="preserve">Informacje dodatkowe: </w:t>
      </w:r>
    </w:p>
    <w:p w14:paraId="70647332" w14:textId="7576D882" w:rsidR="006628C0" w:rsidRPr="00AE5592" w:rsidRDefault="006628C0" w:rsidP="00D34CB0">
      <w:pPr>
        <w:pStyle w:val="Akapitzlist"/>
        <w:keepNext/>
        <w:keepLines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 xml:space="preserve">Wykonawca musi podać </w:t>
      </w:r>
      <w:r w:rsidRPr="004647B6">
        <w:rPr>
          <w:rFonts w:cstheme="minorHAnsi"/>
          <w:bCs/>
          <w:u w:val="single"/>
        </w:rPr>
        <w:t>szacowany termin realizacji zamówienia</w:t>
      </w:r>
      <w:r>
        <w:rPr>
          <w:rFonts w:cstheme="minorHAnsi"/>
          <w:bCs/>
        </w:rPr>
        <w:t>,</w:t>
      </w:r>
    </w:p>
    <w:p w14:paraId="6B5CEE08" w14:textId="1D893011" w:rsidR="00AE5592" w:rsidRPr="006628C0" w:rsidRDefault="00AE5592" w:rsidP="00D34CB0">
      <w:pPr>
        <w:pStyle w:val="Akapitzlist"/>
        <w:keepNext/>
        <w:keepLines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mallCaps/>
          <w:color w:val="000000"/>
        </w:rPr>
      </w:pPr>
      <w:r>
        <w:rPr>
          <w:rFonts w:cstheme="minorHAnsi"/>
          <w:bCs/>
        </w:rPr>
        <w:t>Koszty dostawy po stronie Wykonawcy.</w:t>
      </w:r>
    </w:p>
    <w:p w14:paraId="1800D428" w14:textId="26265130" w:rsidR="006628C0" w:rsidRDefault="006628C0" w:rsidP="00D34CB0">
      <w:pPr>
        <w:pStyle w:val="Akapitzlist"/>
        <w:keepNext/>
        <w:keepLines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</w:rPr>
      </w:pPr>
    </w:p>
    <w:p w14:paraId="7F3B0F19" w14:textId="77777777" w:rsidR="006628C0" w:rsidRPr="006628C0" w:rsidRDefault="006628C0" w:rsidP="00D34CB0">
      <w:pPr>
        <w:pStyle w:val="Akapitzlist"/>
        <w:keepNext/>
        <w:keepLines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mallCaps/>
          <w:color w:val="000000"/>
        </w:rPr>
      </w:pPr>
    </w:p>
    <w:sectPr w:rsidR="006628C0" w:rsidRPr="0066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2891"/>
    <w:multiLevelType w:val="multilevel"/>
    <w:tmpl w:val="49CA5950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1" w15:restartNumberingAfterBreak="0">
    <w:nsid w:val="632D7210"/>
    <w:multiLevelType w:val="hybridMultilevel"/>
    <w:tmpl w:val="7CC6475E"/>
    <w:lvl w:ilvl="0" w:tplc="0415000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cs="Times New Roman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b w:val="0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698" w:hanging="1080"/>
        </w:pPr>
        <w:rPr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</w:lvl>
    </w:lvlOverride>
  </w:num>
  <w:num w:numId="3">
    <w:abstractNumId w:val="0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D3"/>
    <w:rsid w:val="00071D12"/>
    <w:rsid w:val="004647B6"/>
    <w:rsid w:val="006628C0"/>
    <w:rsid w:val="00676CD3"/>
    <w:rsid w:val="007756ED"/>
    <w:rsid w:val="00942FD2"/>
    <w:rsid w:val="009F6D60"/>
    <w:rsid w:val="00A86116"/>
    <w:rsid w:val="00AE5592"/>
    <w:rsid w:val="00D0550D"/>
    <w:rsid w:val="00D34CB0"/>
    <w:rsid w:val="00D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BFD9"/>
  <w15:chartTrackingRefBased/>
  <w15:docId w15:val="{307FC26A-18D4-421A-8B66-7E17EDC9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0550D"/>
  </w:style>
  <w:style w:type="paragraph" w:styleId="Akapitzlist">
    <w:name w:val="List Paragraph"/>
    <w:basedOn w:val="Normalny"/>
    <w:link w:val="AkapitzlistZnak"/>
    <w:qFormat/>
    <w:rsid w:val="00D0550D"/>
    <w:pPr>
      <w:spacing w:line="256" w:lineRule="auto"/>
      <w:ind w:left="720"/>
      <w:contextualSpacing/>
    </w:pPr>
  </w:style>
  <w:style w:type="paragraph" w:customStyle="1" w:styleId="SIWZNAGWEKPUNKTY">
    <w:name w:val="SIWZ NAGŁÓWEK PUNKTY"/>
    <w:basedOn w:val="Normalny"/>
    <w:qFormat/>
    <w:rsid w:val="00D0550D"/>
    <w:pPr>
      <w:keepNext/>
      <w:keepLines/>
      <w:numPr>
        <w:numId w:val="1"/>
      </w:numPr>
      <w:tabs>
        <w:tab w:val="left" w:pos="284"/>
      </w:tabs>
      <w:spacing w:after="0" w:line="256" w:lineRule="auto"/>
      <w:ind w:left="0" w:firstLine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D0550D"/>
    <w:pPr>
      <w:numPr>
        <w:numId w:val="1"/>
      </w:numPr>
    </w:pPr>
  </w:style>
  <w:style w:type="table" w:styleId="Tabela-Siatka">
    <w:name w:val="Table Grid"/>
    <w:basedOn w:val="Standardowy"/>
    <w:uiPriority w:val="99"/>
    <w:rsid w:val="00D3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8</cp:revision>
  <dcterms:created xsi:type="dcterms:W3CDTF">2020-09-14T12:08:00Z</dcterms:created>
  <dcterms:modified xsi:type="dcterms:W3CDTF">2020-10-05T08:00:00Z</dcterms:modified>
</cp:coreProperties>
</file>