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BF" w:rsidRPr="00D11933" w:rsidRDefault="00B501BF" w:rsidP="00B501BF">
      <w:pPr>
        <w:ind w:right="-11"/>
        <w:rPr>
          <w:rFonts w:ascii="Times New Roman" w:hAnsi="Times New Roman"/>
          <w:color w:val="000000"/>
          <w:sz w:val="14"/>
          <w:szCs w:val="16"/>
        </w:rPr>
      </w:pPr>
    </w:p>
    <w:p w:rsidR="00B501BF" w:rsidRPr="009B71EE" w:rsidRDefault="00F00441" w:rsidP="00B501BF">
      <w:pPr>
        <w:tabs>
          <w:tab w:val="left" w:pos="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1 do S</w:t>
      </w:r>
      <w:r w:rsidR="00B501BF" w:rsidRPr="009B71EE">
        <w:rPr>
          <w:rFonts w:ascii="Calibri" w:hAnsi="Calibri" w:cs="Calibri"/>
          <w:b/>
        </w:rPr>
        <w:t>WZ</w:t>
      </w:r>
    </w:p>
    <w:p w:rsidR="00B501BF" w:rsidRPr="00D11933" w:rsidRDefault="00B501BF" w:rsidP="00B501BF">
      <w:pPr>
        <w:tabs>
          <w:tab w:val="left" w:pos="0"/>
        </w:tabs>
        <w:jc w:val="center"/>
        <w:rPr>
          <w:rFonts w:ascii="Times New Roman" w:hAnsi="Times New Roman"/>
          <w:b/>
          <w:sz w:val="14"/>
          <w:szCs w:val="16"/>
        </w:rPr>
      </w:pPr>
    </w:p>
    <w:p w:rsidR="00B501BF" w:rsidRPr="009B71EE" w:rsidRDefault="00B501BF" w:rsidP="00B501B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71EE">
        <w:rPr>
          <w:rFonts w:asciiTheme="minorHAnsi" w:hAnsiTheme="minorHAnsi" w:cstheme="minorHAnsi"/>
          <w:b/>
          <w:sz w:val="24"/>
          <w:szCs w:val="24"/>
        </w:rPr>
        <w:t>PRZEDMIOT ZAMÓWIENIA/SZCZEGÓŁOWY FORMULARZ CENOWY</w:t>
      </w:r>
    </w:p>
    <w:p w:rsidR="00B501BF" w:rsidRPr="00D11933" w:rsidRDefault="00B501BF" w:rsidP="00B501BF">
      <w:pPr>
        <w:ind w:right="-11"/>
        <w:rPr>
          <w:rFonts w:ascii="Times New Roman" w:hAnsi="Times New Roman"/>
          <w:color w:val="000000"/>
          <w:sz w:val="14"/>
          <w:szCs w:val="16"/>
        </w:rPr>
      </w:pPr>
    </w:p>
    <w:p w:rsidR="00ED4123" w:rsidRPr="000231D5" w:rsidRDefault="000231D5" w:rsidP="00ED4123">
      <w:pPr>
        <w:ind w:right="-11"/>
        <w:rPr>
          <w:rFonts w:asciiTheme="minorHAnsi" w:hAnsiTheme="minorHAnsi" w:cstheme="minorHAnsi"/>
          <w:b/>
          <w:sz w:val="22"/>
          <w:szCs w:val="22"/>
        </w:rPr>
      </w:pPr>
      <w:r w:rsidRPr="000231D5">
        <w:rPr>
          <w:rFonts w:asciiTheme="minorHAnsi" w:hAnsiTheme="minorHAnsi" w:cstheme="minorHAnsi"/>
          <w:color w:val="000000"/>
          <w:sz w:val="22"/>
          <w:szCs w:val="22"/>
        </w:rPr>
        <w:t>Grupa 1 – Kleszcze stosowane w endoskopii   CPV: 33168000-5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3"/>
        <w:gridCol w:w="3691"/>
        <w:gridCol w:w="2264"/>
        <w:gridCol w:w="1560"/>
        <w:gridCol w:w="1417"/>
        <w:gridCol w:w="1134"/>
        <w:gridCol w:w="1134"/>
        <w:gridCol w:w="1134"/>
        <w:gridCol w:w="709"/>
        <w:gridCol w:w="852"/>
        <w:gridCol w:w="1278"/>
      </w:tblGrid>
      <w:tr w:rsidR="009B71EE" w:rsidRPr="005C3473" w:rsidTr="002A4CAD">
        <w:trPr>
          <w:trHeight w:val="17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1EE" w:rsidRPr="009B71EE" w:rsidRDefault="009B71EE" w:rsidP="009B71EE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4B03FF" w:rsidRPr="005C3473" w:rsidTr="002755C8">
        <w:trPr>
          <w:trHeight w:val="467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4B03FF" w:rsidRPr="002005AE" w:rsidRDefault="004B03FF" w:rsidP="004B03FF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ED4123" w:rsidRPr="005C3473" w:rsidTr="002755C8">
        <w:trPr>
          <w:trHeight w:val="213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65FD" w:rsidRPr="000231D5" w:rsidRDefault="002D65FD" w:rsidP="002D65FD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0231D5">
              <w:rPr>
                <w:rFonts w:asciiTheme="minorHAnsi" w:hAnsiTheme="minorHAnsi" w:cstheme="minorHAnsi"/>
                <w:u w:val="single"/>
              </w:rPr>
              <w:t>Kleszcze endoskopowe do biopsji stycznych</w:t>
            </w:r>
          </w:p>
          <w:p w:rsidR="00ED4123" w:rsidRPr="005C3473" w:rsidRDefault="007E616A" w:rsidP="002D65FD">
            <w:pPr>
              <w:jc w:val="both"/>
              <w:rPr>
                <w:rFonts w:asciiTheme="minorHAnsi" w:hAnsiTheme="minorHAnsi" w:cstheme="minorHAnsi"/>
              </w:rPr>
            </w:pPr>
            <w:r w:rsidRPr="000231D5">
              <w:rPr>
                <w:rFonts w:asciiTheme="minorHAnsi" w:hAnsiTheme="minorHAnsi" w:cstheme="minorHAnsi"/>
              </w:rPr>
              <w:t xml:space="preserve">Kleszcze biopsyjne jednorazowego użytku, w powleczeniu PE, z markerami głębokości widocznymi w obrazie endoskopowym, łyżeczki o długości 3,86mm, rozwarciu 8mm. Łyżeczki owalne: gładkie. Dostępne w długościach: </w:t>
            </w:r>
            <w:r w:rsidRPr="00DC2866">
              <w:rPr>
                <w:rFonts w:asciiTheme="minorHAnsi" w:hAnsiTheme="minorHAnsi" w:cstheme="minorHAnsi"/>
              </w:rPr>
              <w:t>2300mm</w:t>
            </w:r>
            <w:r w:rsidRPr="000231D5">
              <w:rPr>
                <w:rFonts w:asciiTheme="minorHAnsi" w:hAnsiTheme="minorHAnsi" w:cstheme="minorHAnsi"/>
              </w:rPr>
              <w:t xml:space="preserve"> - przy średnicy narzędzia 2,3mm. Kolor powleczenia niebieski dla długości kleszczy przeznaczonych do kolonoskopii. Kleszcze z funkcją biopsji stycznych. Pakowane pojedynczo, w zestawie 4 etykiety samoprzylepne do dokumentacji z nr katalogowym, nr LOT, datą ważności oraz danymi producenta. Opakowanie handlowe </w:t>
            </w:r>
            <w:r w:rsidR="002D65FD" w:rsidRPr="009B271F">
              <w:rPr>
                <w:rFonts w:asciiTheme="minorHAnsi" w:hAnsiTheme="minorHAnsi" w:cstheme="minorHAnsi"/>
                <w:color w:val="000000" w:themeColor="text1"/>
              </w:rPr>
              <w:t>nie mniejsze niż 10 sztuk</w:t>
            </w:r>
            <w:r w:rsidRPr="009B271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4123" w:rsidRPr="005C3473" w:rsidRDefault="004C68DA" w:rsidP="002755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2589" w:rsidRPr="005C3473" w:rsidRDefault="00FB2589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4123" w:rsidRPr="005C3473" w:rsidTr="002755C8">
        <w:trPr>
          <w:trHeight w:val="278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5FD" w:rsidRPr="000231D5" w:rsidRDefault="002D65FD" w:rsidP="002755C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0231D5">
              <w:rPr>
                <w:rFonts w:asciiTheme="minorHAnsi" w:hAnsiTheme="minorHAnsi" w:cstheme="minorHAnsi"/>
                <w:u w:val="single"/>
              </w:rPr>
              <w:t>Kleszcze endoskopowe typu JUMBO</w:t>
            </w:r>
          </w:p>
          <w:p w:rsidR="00ED4123" w:rsidRPr="002D65FD" w:rsidRDefault="007E616A" w:rsidP="002755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1D5">
              <w:rPr>
                <w:rFonts w:asciiTheme="minorHAnsi" w:hAnsiTheme="minorHAnsi" w:cstheme="minorHAnsi"/>
              </w:rPr>
              <w:t xml:space="preserve">Kleszcze biopsyjne jednorazowego użytku, w powleczeniu PE, z markerami głębokości widocznymi w obrazie endoskopowym, łyżeczki o długości 5,27mm, rozwarciu 9mm. Łyżeczki owalne,  gładkie, pogłębione. Dostępne w długości </w:t>
            </w:r>
            <w:r w:rsidRPr="00DC2866">
              <w:rPr>
                <w:rFonts w:asciiTheme="minorHAnsi" w:hAnsiTheme="minorHAnsi" w:cstheme="minorHAnsi"/>
              </w:rPr>
              <w:t>2300mm</w:t>
            </w:r>
            <w:r w:rsidRPr="000231D5">
              <w:rPr>
                <w:rFonts w:asciiTheme="minorHAnsi" w:hAnsiTheme="minorHAnsi" w:cstheme="minorHAnsi"/>
              </w:rPr>
              <w:t xml:space="preserve"> - przy średnicy narzędzia</w:t>
            </w:r>
            <w:r w:rsidRPr="000231D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C2866">
              <w:rPr>
                <w:rFonts w:asciiTheme="minorHAnsi" w:hAnsiTheme="minorHAnsi" w:cstheme="minorHAnsi"/>
                <w:bCs/>
              </w:rPr>
              <w:t>3,0mm</w:t>
            </w:r>
            <w:r w:rsidRPr="000231D5">
              <w:rPr>
                <w:rFonts w:asciiTheme="minorHAnsi" w:hAnsiTheme="minorHAnsi" w:cstheme="minorHAnsi"/>
              </w:rPr>
              <w:t xml:space="preserve">. Współpracujące z minimalnym kanałem roboczym 3,2mm. Kolor powleczenia niebieski. Pakowane pojedynczo, w zestawie 3 etykiety samoprzylepne do dokumentacji z nr katalogowym, nr LOT, datą ważności i danymi producenta. Opakowanie handlowe </w:t>
            </w:r>
            <w:r w:rsidR="002D65FD" w:rsidRPr="000231D5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2D65FD" w:rsidRPr="00404DE6">
              <w:rPr>
                <w:rFonts w:asciiTheme="minorHAnsi" w:hAnsiTheme="minorHAnsi" w:cstheme="minorHAnsi"/>
                <w:color w:val="000000" w:themeColor="text1"/>
              </w:rPr>
              <w:t>nie mniejsze niż 10 sztuk.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4123" w:rsidRPr="005C3473" w:rsidRDefault="004C68DA" w:rsidP="002755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4123" w:rsidRPr="005C3473" w:rsidTr="00C17168">
        <w:trPr>
          <w:trHeight w:val="232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5FD" w:rsidRPr="000231D5" w:rsidRDefault="00BC3CFC" w:rsidP="002755C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0231D5">
              <w:rPr>
                <w:rFonts w:asciiTheme="minorHAnsi" w:hAnsiTheme="minorHAnsi" w:cstheme="minorHAnsi"/>
                <w:u w:val="single"/>
              </w:rPr>
              <w:t>Kleszcze chwytające do usuwania ciał obcych</w:t>
            </w:r>
          </w:p>
          <w:p w:rsidR="00ED4123" w:rsidRPr="005C3473" w:rsidRDefault="00BC3CFC" w:rsidP="00533E01">
            <w:pPr>
              <w:jc w:val="both"/>
              <w:rPr>
                <w:rFonts w:asciiTheme="minorHAnsi" w:hAnsiTheme="minorHAnsi" w:cstheme="minorHAnsi"/>
              </w:rPr>
            </w:pPr>
            <w:r w:rsidRPr="000231D5">
              <w:rPr>
                <w:rFonts w:asciiTheme="minorHAnsi" w:hAnsiTheme="minorHAnsi" w:cstheme="minorHAnsi"/>
              </w:rPr>
              <w:t>Kleszcze 3- lub 4-ramienne do usuwania ciał obcych, jednorazowego użytku, sterylne. Umożliwiające precyzyjne chwytanie małych polipów, drobnych ciał obcych, posiadające atraumatyczne zaokrąglone końcówki dla więks</w:t>
            </w:r>
            <w:r w:rsidR="00A96FBB">
              <w:rPr>
                <w:rFonts w:asciiTheme="minorHAnsi" w:hAnsiTheme="minorHAnsi" w:cstheme="minorHAnsi"/>
              </w:rPr>
              <w:t>zego bezpieczeństwa. Średnica narzę</w:t>
            </w:r>
            <w:r w:rsidRPr="000231D5">
              <w:rPr>
                <w:rFonts w:asciiTheme="minorHAnsi" w:hAnsiTheme="minorHAnsi" w:cstheme="minorHAnsi"/>
              </w:rPr>
              <w:t xml:space="preserve">dzia 2,4mm, długość robocza </w:t>
            </w:r>
            <w:r w:rsidRPr="00DC2866">
              <w:rPr>
                <w:rFonts w:asciiTheme="minorHAnsi" w:hAnsiTheme="minorHAnsi" w:cstheme="minorHAnsi"/>
              </w:rPr>
              <w:t>2300</w:t>
            </w:r>
            <w:r w:rsidR="00DC2866" w:rsidRPr="00DC2866">
              <w:rPr>
                <w:rFonts w:asciiTheme="minorHAnsi" w:hAnsiTheme="minorHAnsi" w:cstheme="minorHAnsi"/>
              </w:rPr>
              <w:t>mm</w:t>
            </w:r>
            <w:r w:rsidRPr="000231D5">
              <w:rPr>
                <w:rFonts w:asciiTheme="minorHAnsi" w:hAnsiTheme="minorHAnsi" w:cstheme="minorHAnsi"/>
              </w:rPr>
              <w:t xml:space="preserve">. Narzędzie kompatybilne z kanałem roboczym 2,8mm. Opakowanie handlowe = </w:t>
            </w:r>
            <w:r w:rsidR="00FF52B1" w:rsidRPr="000231D5">
              <w:rPr>
                <w:rFonts w:asciiTheme="minorHAnsi" w:hAnsiTheme="minorHAnsi" w:cstheme="minorHAnsi"/>
              </w:rPr>
              <w:t xml:space="preserve"> </w:t>
            </w:r>
            <w:r w:rsidR="00FF52B1" w:rsidRPr="001D63CF">
              <w:rPr>
                <w:rFonts w:asciiTheme="minorHAnsi" w:hAnsiTheme="minorHAnsi" w:cstheme="minorHAnsi"/>
                <w:color w:val="000000" w:themeColor="text1"/>
              </w:rPr>
              <w:t>nie mniejsze niż 10 sztuk.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D4123" w:rsidRPr="005C3473" w:rsidRDefault="004C68DA" w:rsidP="002755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123" w:rsidRPr="005C3473" w:rsidRDefault="00ED4123" w:rsidP="002755C8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4123" w:rsidRPr="005C3473" w:rsidTr="00C17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3" w:type="dxa"/>
            <w:shd w:val="clear" w:color="auto" w:fill="D9D9D9" w:themeFill="background1" w:themeFillShade="D9"/>
          </w:tcPr>
          <w:p w:rsidR="00ED4123" w:rsidRPr="005C3473" w:rsidRDefault="00ED4123" w:rsidP="002755C8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1200" w:type="dxa"/>
            <w:gridSpan w:val="6"/>
            <w:shd w:val="clear" w:color="auto" w:fill="D9D9D9" w:themeFill="background1" w:themeFillShade="D9"/>
            <w:vAlign w:val="center"/>
          </w:tcPr>
          <w:p w:rsidR="00ED4123" w:rsidRPr="005C3473" w:rsidRDefault="00ED4123" w:rsidP="002755C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Suma pozycji od 1 do 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ED4123" w:rsidRPr="005C3473" w:rsidRDefault="00ED4123" w:rsidP="002755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CF177B" w:rsidRDefault="00CF177B" w:rsidP="008C40C7">
      <w:pPr>
        <w:rPr>
          <w:rFonts w:asciiTheme="minorHAnsi" w:hAnsiTheme="minorHAnsi" w:cstheme="minorHAnsi"/>
          <w:b/>
        </w:rPr>
      </w:pPr>
    </w:p>
    <w:p w:rsidR="002005AE" w:rsidRDefault="002005AE" w:rsidP="008C40C7">
      <w:pPr>
        <w:rPr>
          <w:rFonts w:asciiTheme="minorHAnsi" w:hAnsiTheme="minorHAnsi" w:cstheme="minorHAnsi"/>
          <w:b/>
        </w:rPr>
      </w:pPr>
    </w:p>
    <w:p w:rsidR="00077664" w:rsidRPr="000231D5" w:rsidRDefault="000231D5" w:rsidP="008C40C7">
      <w:pPr>
        <w:rPr>
          <w:rFonts w:asciiTheme="minorHAnsi" w:hAnsiTheme="minorHAnsi" w:cstheme="minorHAnsi"/>
          <w:sz w:val="22"/>
          <w:szCs w:val="22"/>
        </w:rPr>
      </w:pPr>
      <w:r w:rsidRPr="000231D5">
        <w:rPr>
          <w:rFonts w:asciiTheme="minorHAnsi" w:hAnsiTheme="minorHAnsi" w:cstheme="minorHAnsi"/>
          <w:sz w:val="22"/>
          <w:szCs w:val="22"/>
        </w:rPr>
        <w:t>Grupa 2 – Pętle stosowane w endoskopii   CPV: 33168000-5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3"/>
        <w:gridCol w:w="3691"/>
        <w:gridCol w:w="2264"/>
        <w:gridCol w:w="1560"/>
        <w:gridCol w:w="1417"/>
        <w:gridCol w:w="1134"/>
        <w:gridCol w:w="1134"/>
        <w:gridCol w:w="1134"/>
        <w:gridCol w:w="709"/>
        <w:gridCol w:w="852"/>
        <w:gridCol w:w="1278"/>
      </w:tblGrid>
      <w:tr w:rsidR="007E616A" w:rsidRPr="005C3473" w:rsidTr="00077664">
        <w:trPr>
          <w:trHeight w:val="467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16A" w:rsidRPr="002005AE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16A" w:rsidRPr="002005AE" w:rsidRDefault="007E616A" w:rsidP="00CB719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16A" w:rsidRPr="002005AE" w:rsidRDefault="007E616A" w:rsidP="00CB719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16A" w:rsidRPr="002005AE" w:rsidRDefault="007E616A" w:rsidP="00CB719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16A" w:rsidRPr="002005AE" w:rsidRDefault="007E616A" w:rsidP="00CB719D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16A" w:rsidRPr="002005AE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16A" w:rsidRPr="002005AE" w:rsidRDefault="007E616A" w:rsidP="00CB719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16A" w:rsidRPr="002005AE" w:rsidRDefault="007E616A" w:rsidP="00CB719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16A" w:rsidRPr="002005AE" w:rsidRDefault="007E616A" w:rsidP="00CB719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7E616A" w:rsidRPr="002005AE" w:rsidRDefault="007E616A" w:rsidP="00CB719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16A" w:rsidRPr="002005AE" w:rsidRDefault="007E616A" w:rsidP="00CB71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7E616A" w:rsidRPr="002005AE" w:rsidRDefault="007E616A" w:rsidP="00CB719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7E616A" w:rsidRPr="002005AE" w:rsidRDefault="007E616A" w:rsidP="00CB719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16A" w:rsidRPr="002005AE" w:rsidRDefault="007E616A" w:rsidP="00CB719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7E616A" w:rsidRPr="002005AE" w:rsidRDefault="007E616A" w:rsidP="00CB719D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7E616A" w:rsidRPr="005C3473" w:rsidTr="00CB719D">
        <w:trPr>
          <w:trHeight w:val="213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31D5" w:rsidRPr="000231D5" w:rsidRDefault="000231D5" w:rsidP="00CB719D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0231D5">
              <w:rPr>
                <w:rFonts w:asciiTheme="minorHAnsi" w:hAnsiTheme="minorHAnsi" w:cstheme="minorHAnsi"/>
                <w:u w:val="single"/>
              </w:rPr>
              <w:t>Pętle do polipektomii owalne</w:t>
            </w:r>
          </w:p>
          <w:p w:rsidR="007E616A" w:rsidRPr="005C3473" w:rsidRDefault="000231D5" w:rsidP="00CB719D">
            <w:pPr>
              <w:jc w:val="both"/>
              <w:rPr>
                <w:rFonts w:asciiTheme="minorHAnsi" w:hAnsiTheme="minorHAnsi" w:cstheme="minorHAnsi"/>
              </w:rPr>
            </w:pPr>
            <w:r w:rsidRPr="000231D5">
              <w:rPr>
                <w:rFonts w:asciiTheme="minorHAnsi" w:hAnsiTheme="minorHAnsi" w:cstheme="minorHAnsi"/>
              </w:rPr>
              <w:t xml:space="preserve">Pętla do polipektomii jednorazowego użytku, sterylna, owalna, z możliwością cięcia z użyciem elektrokoagulacji lub bez, pleciona, drut o średnicy 0,30 mm dla średnicy otwarcia  10mm i 15mm Długość oczka pętli 38,5mm. Narzędzie ze skalowaną rękojeścią. Długość narzędzia </w:t>
            </w:r>
            <w:r w:rsidRPr="00DC2866">
              <w:rPr>
                <w:rFonts w:asciiTheme="minorHAnsi" w:hAnsiTheme="minorHAnsi" w:cstheme="minorHAnsi"/>
              </w:rPr>
              <w:t>2300mm</w:t>
            </w:r>
            <w:r w:rsidRPr="000231D5">
              <w:rPr>
                <w:rFonts w:asciiTheme="minorHAnsi" w:hAnsiTheme="minorHAnsi" w:cstheme="minorHAnsi"/>
              </w:rPr>
              <w:t xml:space="preserve">, średnica osłonki 2,4mm. Pakowane pojedynczo, w zestawi 4 etykiety samoprzylepne do dokumentacji z nr katalogowym, nr LOT, datą ważności oraz danymi producenta. </w:t>
            </w:r>
            <w:r w:rsidR="00C9035D" w:rsidRPr="002A43C3">
              <w:rPr>
                <w:rFonts w:ascii="Calibri" w:hAnsi="Calibri" w:cs="Calibri"/>
                <w:color w:val="000000" w:themeColor="text1"/>
              </w:rPr>
              <w:t xml:space="preserve">Opakowanie handlowe </w:t>
            </w:r>
            <w:r w:rsidR="00D82099" w:rsidRPr="002A43C3">
              <w:rPr>
                <w:rFonts w:ascii="Calibri" w:hAnsi="Calibri" w:cs="Calibri"/>
                <w:color w:val="000000" w:themeColor="text1"/>
              </w:rPr>
              <w:t>nie mniejsze niż 10 sztuk.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616A" w:rsidRPr="005C3473" w:rsidRDefault="007E616A" w:rsidP="00CB71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616A" w:rsidRPr="005C3473" w:rsidRDefault="007E616A" w:rsidP="00CB719D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E616A" w:rsidRPr="005C3473" w:rsidRDefault="00621008" w:rsidP="00CB71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16A" w:rsidRPr="005C3473" w:rsidTr="00CB719D">
        <w:trPr>
          <w:trHeight w:val="278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16A" w:rsidRDefault="000231D5" w:rsidP="00CB719D">
            <w:pPr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0231D5">
              <w:rPr>
                <w:rFonts w:asciiTheme="minorHAnsi" w:hAnsiTheme="minorHAnsi" w:cstheme="minorHAnsi"/>
                <w:color w:val="000000"/>
                <w:u w:val="single"/>
              </w:rPr>
              <w:t>Pętle do polipektomii owalne obrotowe</w:t>
            </w:r>
          </w:p>
          <w:p w:rsidR="000231D5" w:rsidRPr="000231D5" w:rsidRDefault="000231D5" w:rsidP="00CB719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0231D5">
              <w:rPr>
                <w:rFonts w:asciiTheme="minorHAnsi" w:hAnsiTheme="minorHAnsi" w:cstheme="minorHAnsi"/>
                <w:color w:val="000000"/>
              </w:rPr>
              <w:t>Pętla do polipektomii jednorazowego użytku z funkcją rotacji, sterylna, owalna,</w:t>
            </w:r>
            <w:r w:rsidR="0006402C">
              <w:rPr>
                <w:rFonts w:asciiTheme="minorHAnsi" w:hAnsiTheme="minorHAnsi" w:cstheme="minorHAnsi"/>
                <w:color w:val="000000"/>
              </w:rPr>
              <w:t xml:space="preserve"> z możliwością cięcia z użyciem </w:t>
            </w:r>
            <w:r w:rsidRPr="000231D5">
              <w:rPr>
                <w:rFonts w:asciiTheme="minorHAnsi" w:hAnsiTheme="minorHAnsi" w:cstheme="minorHAnsi"/>
                <w:color w:val="000000"/>
              </w:rPr>
              <w:t>elektrokoagulacji lub bez, pleciona, drut o średnicy 0,30 mm dla</w:t>
            </w:r>
            <w:r w:rsidR="00F90E9C">
              <w:rPr>
                <w:rFonts w:asciiTheme="minorHAnsi" w:hAnsiTheme="minorHAnsi" w:cstheme="minorHAnsi"/>
                <w:color w:val="000000"/>
              </w:rPr>
              <w:t xml:space="preserve"> średnicy otwarcia  10mm i 15mm</w:t>
            </w:r>
            <w:r w:rsidRPr="000231D5">
              <w:rPr>
                <w:rFonts w:asciiTheme="minorHAnsi" w:hAnsiTheme="minorHAnsi" w:cstheme="minorHAnsi"/>
                <w:color w:val="000000"/>
              </w:rPr>
              <w:t xml:space="preserve">. Długość oczka pętli </w:t>
            </w:r>
            <w:r w:rsidRPr="000231D5">
              <w:rPr>
                <w:rFonts w:asciiTheme="minorHAnsi" w:hAnsiTheme="minorHAnsi" w:cstheme="minorHAnsi"/>
                <w:color w:val="000000"/>
              </w:rPr>
              <w:lastRenderedPageBreak/>
              <w:t xml:space="preserve">38,5mm. Narzędzie ze skalowaną rękojeścią. Długość narzędzia </w:t>
            </w:r>
            <w:r w:rsidRPr="00DC2866">
              <w:rPr>
                <w:rFonts w:asciiTheme="minorHAnsi" w:hAnsiTheme="minorHAnsi" w:cstheme="minorHAnsi"/>
                <w:color w:val="000000"/>
              </w:rPr>
              <w:t>2300mm</w:t>
            </w:r>
            <w:r w:rsidRPr="000231D5">
              <w:rPr>
                <w:rFonts w:asciiTheme="minorHAnsi" w:hAnsiTheme="minorHAnsi" w:cstheme="minorHAnsi"/>
                <w:color w:val="000000"/>
              </w:rPr>
              <w:t xml:space="preserve">, średnica osłonki 2,4mm. Pakowane pojedynczo, w zestawie 4 etykiety samoprzylepne do dokumentacji z nr katalogowym, nr LOT, datą ważności oraz danymi producenta. </w:t>
            </w:r>
            <w:r w:rsidR="00C9035D">
              <w:rPr>
                <w:rFonts w:asciiTheme="minorHAnsi" w:hAnsiTheme="minorHAnsi" w:cstheme="minorHAnsi"/>
                <w:color w:val="000000"/>
              </w:rPr>
              <w:t xml:space="preserve">Opakowanie handlowe </w:t>
            </w:r>
            <w:r w:rsidR="00C9035D" w:rsidRPr="006C2B2E">
              <w:rPr>
                <w:rFonts w:asciiTheme="minorHAnsi" w:hAnsiTheme="minorHAnsi" w:cstheme="minorHAnsi"/>
                <w:color w:val="000000" w:themeColor="text1"/>
              </w:rPr>
              <w:t>nie mniejsze niż 10 sztuk.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616A" w:rsidRPr="005C3473" w:rsidRDefault="007E616A" w:rsidP="00CB71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616A" w:rsidRPr="005C3473" w:rsidRDefault="007E616A" w:rsidP="00CB719D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E616A" w:rsidRPr="005C3473" w:rsidRDefault="00621008" w:rsidP="00CB71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16A" w:rsidRPr="005C3473" w:rsidTr="00CB719D">
        <w:trPr>
          <w:trHeight w:val="232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16A" w:rsidRDefault="0046171A" w:rsidP="00CB719D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46171A">
              <w:rPr>
                <w:rFonts w:asciiTheme="minorHAnsi" w:hAnsiTheme="minorHAnsi" w:cstheme="minorHAnsi"/>
                <w:u w:val="single"/>
              </w:rPr>
              <w:t>Pętle do polipektomii owalne obrotowe do polipów płaskich</w:t>
            </w:r>
          </w:p>
          <w:p w:rsidR="0046171A" w:rsidRPr="0046171A" w:rsidRDefault="0046171A" w:rsidP="0006402C">
            <w:pPr>
              <w:jc w:val="both"/>
              <w:rPr>
                <w:rFonts w:asciiTheme="minorHAnsi" w:hAnsiTheme="minorHAnsi" w:cstheme="minorHAnsi"/>
              </w:rPr>
            </w:pPr>
            <w:r w:rsidRPr="0046171A">
              <w:rPr>
                <w:rFonts w:asciiTheme="minorHAnsi" w:hAnsiTheme="minorHAnsi" w:cstheme="minorHAnsi"/>
              </w:rPr>
              <w:t>Pętla do polipektomii jednorazowego użytku z funkcją rotacji dedykowana resekcjom płaskim, sterylna, owalna, z możliwością cięcia z użyciem elektrokoagulacji lub bez, pleciona, drut o średnicy 0,43 mm z tech</w:t>
            </w:r>
            <w:r w:rsidR="0006402C">
              <w:rPr>
                <w:rFonts w:asciiTheme="minorHAnsi" w:hAnsiTheme="minorHAnsi" w:cstheme="minorHAnsi"/>
              </w:rPr>
              <w:t>n</w:t>
            </w:r>
            <w:r w:rsidRPr="0046171A">
              <w:rPr>
                <w:rFonts w:asciiTheme="minorHAnsi" w:hAnsiTheme="minorHAnsi" w:cstheme="minorHAnsi"/>
              </w:rPr>
              <w:t xml:space="preserve">ologią zwiększonego tarcia potwierdzoną przez producenta. Średnica otwarcia 15mm lub 25mm. Narzędzie ze skalowaną rękojeścią. Długość narzędzia </w:t>
            </w:r>
            <w:r w:rsidRPr="00DC2866">
              <w:rPr>
                <w:rFonts w:asciiTheme="minorHAnsi" w:hAnsiTheme="minorHAnsi" w:cstheme="minorHAnsi"/>
              </w:rPr>
              <w:t>2300mm</w:t>
            </w:r>
            <w:r w:rsidRPr="0046171A">
              <w:rPr>
                <w:rFonts w:asciiTheme="minorHAnsi" w:hAnsiTheme="minorHAnsi" w:cstheme="minorHAnsi"/>
              </w:rPr>
              <w:t xml:space="preserve">, średnica osłonki 2,4mm. Pakowane pojedynczo, w zestawie 4 etykiety samoprzylepne do dokumentacji z nr katalogowym, nr LOT, datą ważności oraz danymi producenta. </w:t>
            </w:r>
            <w:r>
              <w:t xml:space="preserve"> </w:t>
            </w:r>
            <w:r w:rsidRPr="0046171A">
              <w:rPr>
                <w:rFonts w:asciiTheme="minorHAnsi" w:hAnsiTheme="minorHAnsi" w:cstheme="minorHAnsi"/>
              </w:rPr>
              <w:t xml:space="preserve">Opakowanie handlowe </w:t>
            </w:r>
            <w:r w:rsidRPr="004004EE">
              <w:rPr>
                <w:rFonts w:asciiTheme="minorHAnsi" w:hAnsiTheme="minorHAnsi" w:cstheme="minorHAnsi"/>
                <w:color w:val="000000" w:themeColor="text1"/>
              </w:rPr>
              <w:t>nie mniejsze niż 10 sztuk.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616A" w:rsidRPr="005C3473" w:rsidRDefault="007E616A" w:rsidP="00CB71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616A" w:rsidRPr="005C3473" w:rsidRDefault="007E616A" w:rsidP="00CB719D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E616A" w:rsidRPr="005C3473" w:rsidRDefault="00621008" w:rsidP="00CB71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16A" w:rsidRPr="005C3473" w:rsidRDefault="007E616A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31D5" w:rsidRPr="005C3473" w:rsidTr="00CB719D">
        <w:trPr>
          <w:trHeight w:val="232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1D5" w:rsidRPr="005C3473" w:rsidRDefault="000231D5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1D5" w:rsidRDefault="008D24F9" w:rsidP="00CB719D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8D24F9">
              <w:rPr>
                <w:rFonts w:asciiTheme="minorHAnsi" w:hAnsiTheme="minorHAnsi" w:cstheme="minorHAnsi"/>
                <w:u w:val="single"/>
              </w:rPr>
              <w:t>Pętla z siatką chwytającą</w:t>
            </w:r>
          </w:p>
          <w:p w:rsidR="008D24F9" w:rsidRPr="006F2839" w:rsidRDefault="006F2839" w:rsidP="00CB719D">
            <w:pPr>
              <w:jc w:val="both"/>
              <w:rPr>
                <w:rFonts w:asciiTheme="minorHAnsi" w:hAnsiTheme="minorHAnsi" w:cstheme="minorHAnsi"/>
              </w:rPr>
            </w:pPr>
            <w:r w:rsidRPr="006F2839">
              <w:rPr>
                <w:rFonts w:asciiTheme="minorHAnsi" w:hAnsiTheme="minorHAnsi" w:cstheme="minorHAnsi"/>
              </w:rPr>
              <w:t>Pętla z siatką chwytającą; jednorazowa, owalna, obrotowa, z regulacją wysunięcia. Siatka nylonowa rozpostarta na pętli o otwarciu 25mm i długości oczka 42mm lub otwarciu 35mm i długości oczka 51,5mm (do wyboru Zamawiającego). Średnica narzędzia 2,4mm, długość robo</w:t>
            </w:r>
            <w:r>
              <w:rPr>
                <w:rFonts w:asciiTheme="minorHAnsi" w:hAnsiTheme="minorHAnsi" w:cstheme="minorHAnsi"/>
              </w:rPr>
              <w:t xml:space="preserve">cza </w:t>
            </w:r>
            <w:r w:rsidRPr="00DC2866">
              <w:rPr>
                <w:rFonts w:asciiTheme="minorHAnsi" w:hAnsiTheme="minorHAnsi" w:cstheme="minorHAnsi"/>
              </w:rPr>
              <w:t>2300mm.</w:t>
            </w:r>
            <w:r>
              <w:rPr>
                <w:rFonts w:asciiTheme="minorHAnsi" w:hAnsiTheme="minorHAnsi" w:cstheme="minorHAnsi"/>
              </w:rPr>
              <w:t xml:space="preserve"> Opakowanie handlowe </w:t>
            </w:r>
            <w:r w:rsidRPr="00EE7B99">
              <w:rPr>
                <w:rFonts w:asciiTheme="minorHAnsi" w:hAnsiTheme="minorHAnsi" w:cstheme="minorHAnsi"/>
                <w:color w:val="000000" w:themeColor="text1"/>
              </w:rPr>
              <w:t>nie mniejsze niż 10 sztuk.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1D5" w:rsidRPr="005C3473" w:rsidRDefault="000231D5" w:rsidP="00CB71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31D5" w:rsidRPr="005C3473" w:rsidRDefault="000231D5" w:rsidP="00CB71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31D5" w:rsidRPr="005C3473" w:rsidRDefault="000231D5" w:rsidP="00CB719D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31D5" w:rsidRPr="005C3473" w:rsidRDefault="00621008" w:rsidP="00CB71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1D5" w:rsidRPr="005C3473" w:rsidRDefault="000231D5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1D5" w:rsidRPr="005C3473" w:rsidRDefault="000231D5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1D5" w:rsidRPr="005C3473" w:rsidRDefault="000231D5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1D5" w:rsidRPr="005C3473" w:rsidRDefault="000231D5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1D5" w:rsidRPr="005C3473" w:rsidRDefault="000231D5" w:rsidP="00CB719D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16A" w:rsidRPr="005C3473" w:rsidTr="00CB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3" w:type="dxa"/>
            <w:shd w:val="clear" w:color="auto" w:fill="D9D9D9" w:themeFill="background1" w:themeFillShade="D9"/>
          </w:tcPr>
          <w:p w:rsidR="007E616A" w:rsidRPr="005C3473" w:rsidRDefault="007E616A" w:rsidP="00CB719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1200" w:type="dxa"/>
            <w:gridSpan w:val="6"/>
            <w:shd w:val="clear" w:color="auto" w:fill="D9D9D9" w:themeFill="background1" w:themeFillShade="D9"/>
            <w:vAlign w:val="center"/>
          </w:tcPr>
          <w:p w:rsidR="007E616A" w:rsidRPr="005C3473" w:rsidRDefault="007E616A" w:rsidP="008D24F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Suma pozycji od 1 do </w:t>
            </w:r>
            <w:r w:rsidR="008D24F9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E616A" w:rsidRPr="005C3473" w:rsidRDefault="007E616A" w:rsidP="00CB71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16A" w:rsidRPr="005C3473" w:rsidRDefault="007E616A" w:rsidP="00CB71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7E616A" w:rsidRPr="005C3473" w:rsidRDefault="007E616A" w:rsidP="00CB71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7E616A" w:rsidRPr="005C3473" w:rsidRDefault="007E616A" w:rsidP="00CB71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7E616A" w:rsidRDefault="007E616A" w:rsidP="007E616A">
      <w:pPr>
        <w:rPr>
          <w:rFonts w:asciiTheme="minorHAnsi" w:hAnsiTheme="minorHAnsi" w:cstheme="minorHAnsi"/>
          <w:b/>
        </w:rPr>
      </w:pPr>
    </w:p>
    <w:p w:rsidR="004F57EE" w:rsidRDefault="004F57EE" w:rsidP="00873185">
      <w:pPr>
        <w:ind w:right="-11"/>
        <w:rPr>
          <w:rFonts w:asciiTheme="minorHAnsi" w:hAnsiTheme="minorHAnsi" w:cstheme="minorHAnsi"/>
          <w:b/>
        </w:rPr>
      </w:pPr>
    </w:p>
    <w:p w:rsidR="00791D7D" w:rsidRDefault="00791D7D" w:rsidP="00873185">
      <w:pPr>
        <w:ind w:right="-11"/>
        <w:rPr>
          <w:rFonts w:asciiTheme="minorHAnsi" w:hAnsiTheme="minorHAnsi" w:cstheme="minorHAnsi"/>
          <w:b/>
        </w:rPr>
      </w:pPr>
    </w:p>
    <w:p w:rsidR="00791D7D" w:rsidRPr="00791D7D" w:rsidRDefault="00791D7D" w:rsidP="00873185">
      <w:pPr>
        <w:ind w:right="-11"/>
        <w:rPr>
          <w:rFonts w:asciiTheme="minorHAnsi" w:hAnsiTheme="minorHAnsi" w:cstheme="minorHAnsi"/>
          <w:sz w:val="22"/>
          <w:szCs w:val="22"/>
        </w:rPr>
      </w:pPr>
      <w:r w:rsidRPr="00791D7D">
        <w:rPr>
          <w:rFonts w:asciiTheme="minorHAnsi" w:hAnsiTheme="minorHAnsi" w:cstheme="minorHAnsi"/>
          <w:sz w:val="22"/>
          <w:szCs w:val="22"/>
        </w:rPr>
        <w:lastRenderedPageBreak/>
        <w:t>Grupa 3 – Igły endoskopowe do ostrzykiwania   CPV: 33141320-9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3"/>
        <w:gridCol w:w="3691"/>
        <w:gridCol w:w="2264"/>
        <w:gridCol w:w="1560"/>
        <w:gridCol w:w="1417"/>
        <w:gridCol w:w="1134"/>
        <w:gridCol w:w="1134"/>
        <w:gridCol w:w="1134"/>
        <w:gridCol w:w="709"/>
        <w:gridCol w:w="852"/>
        <w:gridCol w:w="1278"/>
      </w:tblGrid>
      <w:tr w:rsidR="00791D7D" w:rsidRPr="005C3473" w:rsidTr="00783153">
        <w:trPr>
          <w:trHeight w:val="17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D7D" w:rsidRPr="009B71EE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1D7D" w:rsidRPr="009B71EE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D7D" w:rsidRPr="009B71EE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91D7D" w:rsidRPr="009B71EE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91D7D" w:rsidRPr="009B71EE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91D7D" w:rsidRPr="009B71EE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D7D" w:rsidRPr="009B71EE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D7D" w:rsidRPr="009B71EE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D7D" w:rsidRPr="009B71EE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D7D" w:rsidRPr="009B71EE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D7D" w:rsidRPr="009B71EE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791D7D" w:rsidRPr="005C3473" w:rsidTr="00783153">
        <w:trPr>
          <w:trHeight w:val="467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7D" w:rsidRPr="002005AE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7D" w:rsidRPr="002005AE" w:rsidRDefault="00791D7D" w:rsidP="0078315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7D" w:rsidRPr="002005AE" w:rsidRDefault="00791D7D" w:rsidP="0078315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7D" w:rsidRPr="002005AE" w:rsidRDefault="00791D7D" w:rsidP="00783153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7D" w:rsidRPr="002005AE" w:rsidRDefault="00791D7D" w:rsidP="00783153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7D" w:rsidRPr="002005AE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7D" w:rsidRPr="002005AE" w:rsidRDefault="00791D7D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7D" w:rsidRPr="002005AE" w:rsidRDefault="00791D7D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7D" w:rsidRPr="002005AE" w:rsidRDefault="00791D7D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791D7D" w:rsidRPr="002005AE" w:rsidRDefault="00791D7D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7D" w:rsidRPr="002005AE" w:rsidRDefault="00791D7D" w:rsidP="007831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791D7D" w:rsidRPr="002005AE" w:rsidRDefault="00791D7D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791D7D" w:rsidRPr="002005AE" w:rsidRDefault="00791D7D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7D" w:rsidRPr="002005AE" w:rsidRDefault="00791D7D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791D7D" w:rsidRPr="002005AE" w:rsidRDefault="00791D7D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791D7D" w:rsidRPr="005C3473" w:rsidTr="00783153">
        <w:trPr>
          <w:trHeight w:val="213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7D" w:rsidRPr="005C3473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7D" w:rsidRDefault="00791D7D" w:rsidP="00783153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91D7D">
              <w:rPr>
                <w:rFonts w:asciiTheme="minorHAnsi" w:hAnsiTheme="minorHAnsi" w:cstheme="minorHAnsi"/>
                <w:u w:val="single"/>
              </w:rPr>
              <w:t>Igła do ostrzykiwań STANDARD</w:t>
            </w:r>
          </w:p>
          <w:p w:rsidR="00791D7D" w:rsidRPr="00791D7D" w:rsidRDefault="00791D7D" w:rsidP="00783153">
            <w:pPr>
              <w:jc w:val="both"/>
              <w:rPr>
                <w:rFonts w:asciiTheme="minorHAnsi" w:hAnsiTheme="minorHAnsi" w:cstheme="minorHAnsi"/>
              </w:rPr>
            </w:pPr>
            <w:r w:rsidRPr="00791D7D">
              <w:rPr>
                <w:rFonts w:asciiTheme="minorHAnsi" w:hAnsiTheme="minorHAnsi" w:cstheme="minorHAnsi"/>
              </w:rPr>
              <w:t xml:space="preserve">Igła do ostrzykiwań jednorazowego użytku, w osłonce PTFE, o grubości igły 0,6 mm lub 0,8 mm i głębokości nakłucia 4 mm lub 6 mm (do wyboru przez Zamawiającego). Średnica nrzędzia 2,4mm; igła kompatybilna z kanałem roboczym 2,8mm. Długość narzędzia </w:t>
            </w:r>
            <w:r w:rsidRPr="00DC2866">
              <w:rPr>
                <w:rFonts w:asciiTheme="minorHAnsi" w:hAnsiTheme="minorHAnsi" w:cstheme="minorHAnsi"/>
              </w:rPr>
              <w:t>2300mm</w:t>
            </w:r>
            <w:r w:rsidRPr="00791D7D">
              <w:rPr>
                <w:rFonts w:asciiTheme="minorHAnsi" w:hAnsiTheme="minorHAnsi" w:cstheme="minorHAnsi"/>
              </w:rPr>
              <w:t xml:space="preserve">. Zablokowanie igły słyszalne wyraźnym kliknięciem. Rękojeść igły z czterema plastikowymi wypustkami dla precyzyjnego uchwytu. Ostrze igły szlifowane pod pdwójnym kątem dla zwiększenia ostrości narzędzia. Opakowanie handlowe </w:t>
            </w:r>
            <w:r w:rsidRPr="007463CA">
              <w:rPr>
                <w:rFonts w:asciiTheme="minorHAnsi" w:hAnsiTheme="minorHAnsi" w:cstheme="minorHAnsi"/>
                <w:color w:val="000000" w:themeColor="text1"/>
              </w:rPr>
              <w:t>nie mniejsze niż 10 sztuk.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7D" w:rsidRPr="005C3473" w:rsidRDefault="00791D7D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91D7D" w:rsidRPr="005C3473" w:rsidRDefault="00791D7D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91D7D" w:rsidRPr="005C3473" w:rsidRDefault="00791D7D" w:rsidP="00783153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91D7D" w:rsidRPr="005C3473" w:rsidRDefault="00410336" w:rsidP="007831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7D" w:rsidRPr="005C3473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7D" w:rsidRPr="005C3473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7D" w:rsidRPr="005C3473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7D" w:rsidRPr="005C3473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7D" w:rsidRPr="005C3473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D7D" w:rsidRPr="005C3473" w:rsidTr="00783153">
        <w:trPr>
          <w:trHeight w:val="278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7D" w:rsidRPr="005C3473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D7D" w:rsidRPr="00791D7D" w:rsidRDefault="00791D7D" w:rsidP="00783153">
            <w:pPr>
              <w:jc w:val="both"/>
              <w:rPr>
                <w:rFonts w:ascii="Calibri" w:hAnsi="Calibri" w:cs="Calibri"/>
                <w:color w:val="000000"/>
                <w:u w:val="single"/>
              </w:rPr>
            </w:pPr>
            <w:r w:rsidRPr="00791D7D">
              <w:rPr>
                <w:rFonts w:ascii="Calibri" w:hAnsi="Calibri" w:cs="Calibri"/>
                <w:color w:val="000000"/>
                <w:u w:val="single"/>
              </w:rPr>
              <w:t>Igła do ostrzykiwań DOUBLE</w:t>
            </w:r>
          </w:p>
          <w:p w:rsidR="00791D7D" w:rsidRPr="00791D7D" w:rsidRDefault="00791D7D" w:rsidP="0013192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91D7D">
              <w:rPr>
                <w:rFonts w:ascii="Calibri" w:hAnsi="Calibri" w:cs="Calibri"/>
              </w:rPr>
              <w:t>Igła do ostrzykiwań jednorazowego użytku, w zielonej dobrze widocznej osłonce PTFE, o grubości igły 0,6 mm  i głębokości nakłucia 4 mm lub 6 mm. Kąt ścięcia ostrza igły  23,5°. Średnica n</w:t>
            </w:r>
            <w:r w:rsidR="009D360F">
              <w:rPr>
                <w:rFonts w:ascii="Calibri" w:hAnsi="Calibri" w:cs="Calibri"/>
              </w:rPr>
              <w:t>a</w:t>
            </w:r>
            <w:r w:rsidRPr="00791D7D">
              <w:rPr>
                <w:rFonts w:ascii="Calibri" w:hAnsi="Calibri" w:cs="Calibri"/>
              </w:rPr>
              <w:t xml:space="preserve">rzędzia 2,4mm; igła kompatybilna z kanałem roboczym 2,8mm. Długość narzędzia </w:t>
            </w:r>
            <w:r w:rsidRPr="00DC2866">
              <w:rPr>
                <w:rFonts w:ascii="Calibri" w:hAnsi="Calibri" w:cs="Calibri"/>
              </w:rPr>
              <w:t>2300mm</w:t>
            </w:r>
            <w:r w:rsidRPr="00791D7D">
              <w:rPr>
                <w:rFonts w:ascii="Calibri" w:hAnsi="Calibri" w:cs="Calibri"/>
              </w:rPr>
              <w:t>. Pancerz igły zakończony metalowym, zewnętrznym pierścieniem w miejscu jej wyjścia stabilizujący pracę igły i eliminujący możliwość jej wyginania. Zablokowanie igły słyszalne wyraźnym kliknięciem. Możliwość wysunięcia i schowania igły bez względu na stopień zagięcia endoskpou. Rękojeść igły z czterema plastikowymi wypustkami dla prec</w:t>
            </w:r>
            <w:r w:rsidR="00131923">
              <w:rPr>
                <w:rFonts w:ascii="Calibri" w:hAnsi="Calibri" w:cs="Calibri"/>
              </w:rPr>
              <w:t>y</w:t>
            </w:r>
            <w:r w:rsidRPr="00791D7D">
              <w:rPr>
                <w:rFonts w:ascii="Calibri" w:hAnsi="Calibri" w:cs="Calibri"/>
              </w:rPr>
              <w:t>zyjnego uchwytu. Ostrze igły szlifowane pod p</w:t>
            </w:r>
            <w:r w:rsidR="00131923">
              <w:rPr>
                <w:rFonts w:ascii="Calibri" w:hAnsi="Calibri" w:cs="Calibri"/>
              </w:rPr>
              <w:t>o</w:t>
            </w:r>
            <w:r w:rsidRPr="00791D7D">
              <w:rPr>
                <w:rFonts w:ascii="Calibri" w:hAnsi="Calibri" w:cs="Calibri"/>
              </w:rPr>
              <w:t xml:space="preserve">dwójnym kątem dla zwiększenia ostrości narzędzia. Opakowanie </w:t>
            </w:r>
            <w:r>
              <w:rPr>
                <w:rFonts w:ascii="Calibri" w:hAnsi="Calibri" w:cs="Calibri"/>
              </w:rPr>
              <w:t xml:space="preserve">handlowe </w:t>
            </w:r>
            <w:r w:rsidRPr="007463CA">
              <w:rPr>
                <w:rFonts w:ascii="Calibri" w:hAnsi="Calibri" w:cs="Calibri"/>
                <w:color w:val="000000" w:themeColor="text1"/>
              </w:rPr>
              <w:t>nie mniejsze niż 10 sztuk.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7D" w:rsidRPr="005C3473" w:rsidRDefault="00791D7D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91D7D" w:rsidRPr="005C3473" w:rsidRDefault="00791D7D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91D7D" w:rsidRPr="005C3473" w:rsidRDefault="00791D7D" w:rsidP="00783153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91D7D" w:rsidRPr="005C3473" w:rsidRDefault="00410336" w:rsidP="007831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7D" w:rsidRPr="005C3473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7D" w:rsidRPr="005C3473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7D" w:rsidRPr="005C3473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7D" w:rsidRPr="005C3473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D7D" w:rsidRPr="005C3473" w:rsidRDefault="00791D7D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D7D" w:rsidRPr="005C3473" w:rsidTr="0078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3" w:type="dxa"/>
            <w:shd w:val="clear" w:color="auto" w:fill="D9D9D9" w:themeFill="background1" w:themeFillShade="D9"/>
          </w:tcPr>
          <w:p w:rsidR="00791D7D" w:rsidRPr="005C3473" w:rsidRDefault="00791D7D" w:rsidP="0078315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1200" w:type="dxa"/>
            <w:gridSpan w:val="6"/>
            <w:shd w:val="clear" w:color="auto" w:fill="D9D9D9" w:themeFill="background1" w:themeFillShade="D9"/>
            <w:vAlign w:val="center"/>
          </w:tcPr>
          <w:p w:rsidR="00791D7D" w:rsidRPr="005C3473" w:rsidRDefault="00791D7D" w:rsidP="00791D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Suma pozycji od 1 do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1D7D" w:rsidRPr="005C3473" w:rsidRDefault="00791D7D" w:rsidP="007831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D7D" w:rsidRPr="005C3473" w:rsidRDefault="00791D7D" w:rsidP="007831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791D7D" w:rsidRPr="005C3473" w:rsidRDefault="00791D7D" w:rsidP="007831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791D7D" w:rsidRPr="005C3473" w:rsidRDefault="00791D7D" w:rsidP="007831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3C62E4" w:rsidRPr="003C62E4" w:rsidRDefault="003C62E4" w:rsidP="00791D7D">
      <w:pPr>
        <w:rPr>
          <w:rFonts w:asciiTheme="minorHAnsi" w:hAnsiTheme="minorHAnsi" w:cstheme="minorHAnsi"/>
          <w:sz w:val="22"/>
          <w:szCs w:val="22"/>
        </w:rPr>
      </w:pPr>
      <w:r w:rsidRPr="003C62E4">
        <w:rPr>
          <w:rFonts w:asciiTheme="minorHAnsi" w:hAnsiTheme="minorHAnsi" w:cstheme="minorHAnsi"/>
          <w:sz w:val="22"/>
          <w:szCs w:val="22"/>
        </w:rPr>
        <w:lastRenderedPageBreak/>
        <w:t>Grupa 4 – Żel poślizgowy  CPV: 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3"/>
        <w:gridCol w:w="3691"/>
        <w:gridCol w:w="2264"/>
        <w:gridCol w:w="1560"/>
        <w:gridCol w:w="1417"/>
        <w:gridCol w:w="1134"/>
        <w:gridCol w:w="1134"/>
        <w:gridCol w:w="1134"/>
        <w:gridCol w:w="709"/>
        <w:gridCol w:w="852"/>
        <w:gridCol w:w="1278"/>
      </w:tblGrid>
      <w:tr w:rsidR="003C62E4" w:rsidRPr="009B71EE" w:rsidTr="00783153">
        <w:trPr>
          <w:trHeight w:val="17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2E4" w:rsidRPr="009B71EE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C62E4" w:rsidRPr="009B71EE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2E4" w:rsidRPr="009B71EE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C62E4" w:rsidRPr="009B71EE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C62E4" w:rsidRPr="009B71EE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C62E4" w:rsidRPr="009B71EE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2E4" w:rsidRPr="009B71EE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2E4" w:rsidRPr="009B71EE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2E4" w:rsidRPr="009B71EE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2E4" w:rsidRPr="009B71EE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2E4" w:rsidRPr="009B71EE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3C62E4" w:rsidRPr="002005AE" w:rsidTr="00783153">
        <w:trPr>
          <w:trHeight w:val="467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2E4" w:rsidRPr="002005AE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2E4" w:rsidRPr="002005AE" w:rsidRDefault="003C62E4" w:rsidP="0078315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2E4" w:rsidRPr="002005AE" w:rsidRDefault="003C62E4" w:rsidP="0078315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2E4" w:rsidRPr="002005AE" w:rsidRDefault="003C62E4" w:rsidP="00783153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2E4" w:rsidRPr="002005AE" w:rsidRDefault="003C62E4" w:rsidP="00783153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2E4" w:rsidRPr="002005AE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2E4" w:rsidRPr="002005AE" w:rsidRDefault="003C62E4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2E4" w:rsidRPr="002005AE" w:rsidRDefault="003C62E4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2E4" w:rsidRPr="002005AE" w:rsidRDefault="003C62E4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3C62E4" w:rsidRPr="002005AE" w:rsidRDefault="003C62E4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2E4" w:rsidRPr="002005AE" w:rsidRDefault="003C62E4" w:rsidP="007831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3C62E4" w:rsidRPr="002005AE" w:rsidRDefault="003C62E4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3C62E4" w:rsidRPr="002005AE" w:rsidRDefault="003C62E4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2E4" w:rsidRPr="002005AE" w:rsidRDefault="003C62E4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3C62E4" w:rsidRPr="002005AE" w:rsidRDefault="003C62E4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3C62E4" w:rsidRPr="005C3473" w:rsidTr="00783153">
        <w:trPr>
          <w:trHeight w:val="213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2E4" w:rsidRPr="005C3473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4A7" w:rsidRPr="000964A7" w:rsidRDefault="000964A7" w:rsidP="003C62E4">
            <w:pPr>
              <w:jc w:val="both"/>
              <w:rPr>
                <w:rFonts w:ascii="Calibri" w:hAnsi="Calibri" w:cs="Calibri"/>
                <w:u w:val="single"/>
              </w:rPr>
            </w:pPr>
            <w:r w:rsidRPr="000964A7">
              <w:rPr>
                <w:rFonts w:ascii="Calibri" w:hAnsi="Calibri" w:cs="Calibri"/>
                <w:u w:val="single"/>
              </w:rPr>
              <w:t>Żel endoskopowy</w:t>
            </w:r>
          </w:p>
          <w:p w:rsidR="003C62E4" w:rsidRPr="003C62E4" w:rsidRDefault="003C62E4" w:rsidP="003C62E4">
            <w:pPr>
              <w:jc w:val="both"/>
              <w:rPr>
                <w:rFonts w:ascii="Calibri" w:hAnsi="Calibri" w:cs="Calibri"/>
              </w:rPr>
            </w:pPr>
            <w:r w:rsidRPr="003C62E4">
              <w:rPr>
                <w:rFonts w:ascii="Calibri" w:hAnsi="Calibri" w:cs="Calibri"/>
              </w:rPr>
              <w:t>Żel poślizgowy przeznaczony do profesjonalnego stosowania w endoskopii, gastroskopii, proktoskopii i ginekologii. Preparat w transparentnej butelce, dzięki temu widoczna jest ilość żelu, która została zużyta. Skład: woda, środek utrzymujący wilgoć, polimer, konserwant, emolient silikonowy. But</w:t>
            </w:r>
            <w:r>
              <w:rPr>
                <w:rFonts w:ascii="Calibri" w:hAnsi="Calibri" w:cs="Calibri"/>
              </w:rPr>
              <w:t xml:space="preserve">elka 260 g. Opakowanie handlowe </w:t>
            </w:r>
            <w:r w:rsidRPr="00485032">
              <w:rPr>
                <w:rFonts w:ascii="Calibri" w:hAnsi="Calibri" w:cs="Calibri"/>
                <w:color w:val="000000" w:themeColor="text1"/>
              </w:rPr>
              <w:t>nie mniejsze niż 25 sztuk.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2E4" w:rsidRPr="005C3473" w:rsidRDefault="003C62E4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C62E4" w:rsidRPr="005C3473" w:rsidRDefault="003C62E4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C62E4" w:rsidRPr="005C3473" w:rsidRDefault="003C62E4" w:rsidP="00783153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C62E4" w:rsidRPr="005C3473" w:rsidRDefault="004213D1" w:rsidP="007831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2E4" w:rsidRPr="005C3473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2E4" w:rsidRPr="005C3473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2E4" w:rsidRPr="005C3473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2E4" w:rsidRPr="005C3473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2E4" w:rsidRPr="005C3473" w:rsidRDefault="003C62E4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57EE" w:rsidRDefault="004F57EE" w:rsidP="00873185">
      <w:pPr>
        <w:ind w:right="-11"/>
        <w:rPr>
          <w:rFonts w:asciiTheme="minorHAnsi" w:hAnsiTheme="minorHAnsi" w:cstheme="minorHAnsi"/>
          <w:b/>
        </w:rPr>
      </w:pPr>
    </w:p>
    <w:p w:rsidR="009973C6" w:rsidRDefault="009973C6" w:rsidP="00873185">
      <w:pPr>
        <w:ind w:right="-11"/>
        <w:rPr>
          <w:rFonts w:asciiTheme="minorHAnsi" w:hAnsiTheme="minorHAnsi" w:cstheme="minorHAnsi"/>
          <w:b/>
        </w:rPr>
      </w:pPr>
    </w:p>
    <w:p w:rsidR="004F57EE" w:rsidRPr="00FF0A91" w:rsidRDefault="00FF0A91" w:rsidP="00873185">
      <w:pPr>
        <w:ind w:right="-11"/>
        <w:rPr>
          <w:rFonts w:asciiTheme="minorHAnsi" w:hAnsiTheme="minorHAnsi" w:cstheme="minorHAnsi"/>
          <w:sz w:val="22"/>
          <w:szCs w:val="22"/>
        </w:rPr>
      </w:pPr>
      <w:r w:rsidRPr="00FF0A91">
        <w:rPr>
          <w:rFonts w:asciiTheme="minorHAnsi" w:hAnsiTheme="minorHAnsi" w:cstheme="minorHAnsi"/>
          <w:sz w:val="22"/>
          <w:szCs w:val="22"/>
        </w:rPr>
        <w:t>Grupa 5 – Akcesoria endoskopowe: szczotki czyszczące, gąbki do mycia endoskopu   CPV: 33140000-3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3"/>
        <w:gridCol w:w="3691"/>
        <w:gridCol w:w="2264"/>
        <w:gridCol w:w="1560"/>
        <w:gridCol w:w="1417"/>
        <w:gridCol w:w="1134"/>
        <w:gridCol w:w="1134"/>
        <w:gridCol w:w="1134"/>
        <w:gridCol w:w="709"/>
        <w:gridCol w:w="852"/>
        <w:gridCol w:w="1278"/>
      </w:tblGrid>
      <w:tr w:rsidR="00FF0A91" w:rsidRPr="005C3473" w:rsidTr="00783153">
        <w:trPr>
          <w:trHeight w:val="17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91" w:rsidRPr="009B71EE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F0A91" w:rsidRPr="009B71EE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91" w:rsidRPr="009B71EE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0A91" w:rsidRPr="009B71EE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0A91" w:rsidRPr="009B71EE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F0A91" w:rsidRPr="009B71EE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91" w:rsidRPr="009B71EE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91" w:rsidRPr="009B71EE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91" w:rsidRPr="009B71EE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91" w:rsidRPr="009B71EE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91" w:rsidRPr="009B71EE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FF0A91" w:rsidRPr="005C3473" w:rsidTr="00783153">
        <w:trPr>
          <w:trHeight w:val="467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91" w:rsidRPr="002005AE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91" w:rsidRPr="002005AE" w:rsidRDefault="00FF0A91" w:rsidP="0078315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91" w:rsidRPr="002005AE" w:rsidRDefault="00FF0A91" w:rsidP="0078315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91" w:rsidRPr="002005AE" w:rsidRDefault="00FF0A91" w:rsidP="00783153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91" w:rsidRPr="002005AE" w:rsidRDefault="00FF0A91" w:rsidP="00783153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91" w:rsidRPr="002005AE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91" w:rsidRPr="002005AE" w:rsidRDefault="00FF0A91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91" w:rsidRPr="002005AE" w:rsidRDefault="00FF0A91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91" w:rsidRPr="002005AE" w:rsidRDefault="00FF0A91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FF0A91" w:rsidRPr="002005AE" w:rsidRDefault="00FF0A91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91" w:rsidRPr="002005AE" w:rsidRDefault="00FF0A91" w:rsidP="007831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FF0A91" w:rsidRPr="002005AE" w:rsidRDefault="00FF0A91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FF0A91" w:rsidRPr="002005AE" w:rsidRDefault="00FF0A91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A91" w:rsidRPr="002005AE" w:rsidRDefault="00FF0A91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FF0A91" w:rsidRPr="002005AE" w:rsidRDefault="00FF0A91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FF0A91" w:rsidRPr="005C3473" w:rsidTr="00783153">
        <w:trPr>
          <w:trHeight w:val="213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A91" w:rsidRPr="006B27F5" w:rsidRDefault="004A2DA9" w:rsidP="00783153">
            <w:pPr>
              <w:jc w:val="both"/>
              <w:rPr>
                <w:rFonts w:ascii="Calibri" w:hAnsi="Calibri" w:cs="Calibri"/>
                <w:u w:val="single"/>
              </w:rPr>
            </w:pPr>
            <w:r w:rsidRPr="006B27F5">
              <w:rPr>
                <w:rFonts w:ascii="Calibri" w:hAnsi="Calibri" w:cs="Calibri"/>
                <w:u w:val="single"/>
              </w:rPr>
              <w:t>Szczoteczka długa</w:t>
            </w:r>
            <w:r w:rsidR="00831F69">
              <w:rPr>
                <w:rFonts w:ascii="Calibri" w:hAnsi="Calibri" w:cs="Calibri"/>
                <w:u w:val="single"/>
              </w:rPr>
              <w:t xml:space="preserve"> 6 mm x 6 mm</w:t>
            </w:r>
          </w:p>
          <w:p w:rsidR="004A2DA9" w:rsidRPr="004A2DA9" w:rsidRDefault="004A2DA9" w:rsidP="00783153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6B27F5">
              <w:rPr>
                <w:rFonts w:ascii="Calibri" w:hAnsi="Calibri" w:cs="Calibri"/>
              </w:rPr>
              <w:t xml:space="preserve">Szczotka jednorazowego użytku do czyszczenia endoskopu. Dwustronna o średnicy drutu prowadzącego 1,7mm ze średnicą włosia 6mm i 6mm przy długości narzędzia </w:t>
            </w:r>
            <w:r w:rsidRPr="00DC2866">
              <w:rPr>
                <w:rFonts w:ascii="Calibri" w:hAnsi="Calibri" w:cs="Calibri"/>
              </w:rPr>
              <w:t>2500mm</w:t>
            </w:r>
            <w:r w:rsidRPr="006B27F5">
              <w:rPr>
                <w:rFonts w:ascii="Calibri" w:hAnsi="Calibri" w:cs="Calibri"/>
              </w:rPr>
              <w:t xml:space="preserve">. Na końcach szczotki plastikowe kulki chroniące kanał endoskopu przed zarysowaniami. Szczotka współpracująca z minimalnym kanałem roboczym 2,8mm. Pakowane pojedynczo, w zestawie 4 etykiety samoprzylepne do dokumentacji z nr katalogowym, nr LOT, datą ważności oraz danymi producenta. Opakowanie handlowe  </w:t>
            </w:r>
            <w:r w:rsidRPr="005535B3">
              <w:rPr>
                <w:rFonts w:ascii="Calibri" w:hAnsi="Calibri" w:cs="Calibri"/>
                <w:color w:val="000000" w:themeColor="text1"/>
              </w:rPr>
              <w:t>nie mniejsze niż 50 sztuk.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F0A91" w:rsidRPr="005C3473" w:rsidRDefault="00FF0A91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F0A91" w:rsidRPr="005C3473" w:rsidRDefault="00FF0A91" w:rsidP="00783153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F0A91" w:rsidRPr="005C3473" w:rsidRDefault="00A1752F" w:rsidP="007831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0A91" w:rsidRPr="005C3473" w:rsidTr="00783153">
        <w:trPr>
          <w:trHeight w:val="278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A91" w:rsidRPr="006B27F5" w:rsidRDefault="004A2DA9" w:rsidP="00783153">
            <w:pPr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6B27F5">
              <w:rPr>
                <w:rFonts w:asciiTheme="minorHAnsi" w:hAnsiTheme="minorHAnsi" w:cstheme="minorHAnsi"/>
                <w:color w:val="000000"/>
                <w:u w:val="single"/>
              </w:rPr>
              <w:t>Szczotka jednorazowa do endoskopów</w:t>
            </w:r>
          </w:p>
          <w:p w:rsidR="004A2DA9" w:rsidRPr="006B27F5" w:rsidRDefault="004A2DA9" w:rsidP="007B6903">
            <w:pPr>
              <w:jc w:val="both"/>
              <w:rPr>
                <w:rFonts w:asciiTheme="minorHAnsi" w:hAnsiTheme="minorHAnsi" w:cstheme="minorHAnsi"/>
              </w:rPr>
            </w:pPr>
            <w:r w:rsidRPr="006B27F5">
              <w:rPr>
                <w:rFonts w:asciiTheme="minorHAnsi" w:hAnsiTheme="minorHAnsi" w:cstheme="minorHAnsi"/>
              </w:rPr>
              <w:t xml:space="preserve">Szczotka jednorazowego użytku do czyszczenia kanałów endoskopowych. </w:t>
            </w:r>
            <w:r w:rsidRPr="006B27F5">
              <w:rPr>
                <w:rFonts w:asciiTheme="minorHAnsi" w:hAnsiTheme="minorHAnsi" w:cstheme="minorHAnsi"/>
              </w:rPr>
              <w:lastRenderedPageBreak/>
              <w:t xml:space="preserve">Dwustronna: z jednej strony szczotka z włosiem o średnicy 5 mm, długość 20 mm, z drugiej strony końcówka z mikrofibry o średnicy 6 mm, długość 300 mm. Cewnik o średnicy 1,7 mm, całkowita długość narzędzia </w:t>
            </w:r>
            <w:r w:rsidRPr="00DC2866">
              <w:rPr>
                <w:rFonts w:asciiTheme="minorHAnsi" w:hAnsiTheme="minorHAnsi" w:cstheme="minorHAnsi"/>
              </w:rPr>
              <w:t>2300 mm</w:t>
            </w:r>
            <w:r w:rsidRPr="006B27F5">
              <w:rPr>
                <w:rFonts w:asciiTheme="minorHAnsi" w:hAnsiTheme="minorHAnsi" w:cstheme="minorHAnsi"/>
              </w:rPr>
              <w:t>. W zestawie 3 nakl</w:t>
            </w:r>
            <w:r w:rsidR="007B6903">
              <w:rPr>
                <w:rFonts w:asciiTheme="minorHAnsi" w:hAnsiTheme="minorHAnsi" w:cstheme="minorHAnsi"/>
              </w:rPr>
              <w:t>ejki do dokumentacji medycznej.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F0A91" w:rsidRPr="005C3473" w:rsidRDefault="00FF0A91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F0A91" w:rsidRPr="005C3473" w:rsidRDefault="00FF0A91" w:rsidP="00783153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F0A91" w:rsidRPr="005C3473" w:rsidRDefault="00021EA6" w:rsidP="007831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0A91" w:rsidRPr="005C3473" w:rsidTr="00783153">
        <w:trPr>
          <w:trHeight w:val="232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A91" w:rsidRPr="006B27F5" w:rsidRDefault="00EC115D" w:rsidP="007B6903">
            <w:pPr>
              <w:jc w:val="both"/>
              <w:rPr>
                <w:rFonts w:asciiTheme="minorHAnsi" w:hAnsiTheme="minorHAnsi" w:cstheme="minorHAnsi"/>
              </w:rPr>
            </w:pPr>
            <w:r w:rsidRPr="006B27F5">
              <w:rPr>
                <w:rFonts w:asciiTheme="minorHAnsi" w:hAnsiTheme="minorHAnsi" w:cstheme="minorHAnsi"/>
              </w:rPr>
              <w:t>Gąbka do mycia endoskopu</w:t>
            </w:r>
            <w:r w:rsidR="007B6903">
              <w:rPr>
                <w:rFonts w:asciiTheme="minorHAnsi" w:hAnsiTheme="minorHAnsi" w:cstheme="minorHAnsi"/>
              </w:rPr>
              <w:t>, długość 125mm, średnica 50mm.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F0A91" w:rsidRPr="005C3473" w:rsidRDefault="00FF0A91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F0A91" w:rsidRPr="005C3473" w:rsidRDefault="00FF0A91" w:rsidP="00783153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F0A91" w:rsidRPr="005C3473" w:rsidRDefault="00A1752F" w:rsidP="007831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5C3473" w:rsidRDefault="00FF0A91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0A91" w:rsidRPr="005C3473" w:rsidTr="0078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3" w:type="dxa"/>
            <w:shd w:val="clear" w:color="auto" w:fill="D9D9D9" w:themeFill="background1" w:themeFillShade="D9"/>
          </w:tcPr>
          <w:p w:rsidR="00FF0A91" w:rsidRPr="005C3473" w:rsidRDefault="00FF0A91" w:rsidP="0078315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1200" w:type="dxa"/>
            <w:gridSpan w:val="6"/>
            <w:shd w:val="clear" w:color="auto" w:fill="D9D9D9" w:themeFill="background1" w:themeFillShade="D9"/>
            <w:vAlign w:val="center"/>
          </w:tcPr>
          <w:p w:rsidR="00FF0A91" w:rsidRPr="005C3473" w:rsidRDefault="00FF0A91" w:rsidP="0078315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>Suma pozycji od 1 do 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0A91" w:rsidRPr="005C3473" w:rsidRDefault="00FF0A91" w:rsidP="007831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91" w:rsidRPr="005C3473" w:rsidRDefault="00FF0A91" w:rsidP="007831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F0A91" w:rsidRPr="005C3473" w:rsidRDefault="00FF0A91" w:rsidP="007831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FF0A91" w:rsidRPr="005C3473" w:rsidRDefault="00FF0A91" w:rsidP="007831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FF0A91" w:rsidRDefault="00FF0A91" w:rsidP="00FF0A91">
      <w:pPr>
        <w:rPr>
          <w:rFonts w:asciiTheme="minorHAnsi" w:hAnsiTheme="minorHAnsi" w:cstheme="minorHAnsi"/>
          <w:b/>
        </w:rPr>
      </w:pPr>
    </w:p>
    <w:p w:rsidR="004F57EE" w:rsidRDefault="004F57EE" w:rsidP="00873185">
      <w:pPr>
        <w:ind w:right="-11"/>
        <w:rPr>
          <w:rFonts w:asciiTheme="minorHAnsi" w:hAnsiTheme="minorHAnsi" w:cstheme="minorHAnsi"/>
          <w:b/>
        </w:rPr>
      </w:pPr>
    </w:p>
    <w:p w:rsidR="00C67953" w:rsidRPr="00C67953" w:rsidRDefault="00C67953" w:rsidP="008D0714">
      <w:pPr>
        <w:ind w:right="-11"/>
        <w:rPr>
          <w:rFonts w:ascii="Calibri" w:hAnsi="Calibri" w:cs="Calibri"/>
          <w:sz w:val="22"/>
          <w:szCs w:val="22"/>
        </w:rPr>
      </w:pPr>
      <w:r w:rsidRPr="00C67953">
        <w:rPr>
          <w:rFonts w:ascii="Calibri" w:hAnsi="Calibri" w:cs="Calibri"/>
          <w:sz w:val="22"/>
          <w:szCs w:val="22"/>
        </w:rPr>
        <w:t>Grupa 6 – Akcesoria endoskopowe: ustniki, korki, markery, zawory   CPV: 33140000-3; 33694000-1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3"/>
        <w:gridCol w:w="3691"/>
        <w:gridCol w:w="2264"/>
        <w:gridCol w:w="1560"/>
        <w:gridCol w:w="1417"/>
        <w:gridCol w:w="1134"/>
        <w:gridCol w:w="1134"/>
        <w:gridCol w:w="1134"/>
        <w:gridCol w:w="709"/>
        <w:gridCol w:w="852"/>
        <w:gridCol w:w="1278"/>
      </w:tblGrid>
      <w:tr w:rsidR="00C67953" w:rsidRPr="005C3473" w:rsidTr="00783153">
        <w:trPr>
          <w:trHeight w:val="17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953" w:rsidRPr="009B71EE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67953" w:rsidRPr="009B71EE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953" w:rsidRPr="009B71EE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67953" w:rsidRPr="009B71EE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67953" w:rsidRPr="009B71EE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67953" w:rsidRPr="009B71EE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953" w:rsidRPr="009B71EE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953" w:rsidRPr="009B71EE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953" w:rsidRPr="009B71EE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953" w:rsidRPr="009B71EE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953" w:rsidRPr="009B71EE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C67953" w:rsidRPr="005C3473" w:rsidTr="00783153">
        <w:trPr>
          <w:trHeight w:val="467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953" w:rsidRPr="002005AE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953" w:rsidRPr="002005AE" w:rsidRDefault="00C67953" w:rsidP="0078315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953" w:rsidRPr="002005AE" w:rsidRDefault="00C67953" w:rsidP="0078315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953" w:rsidRPr="002005AE" w:rsidRDefault="00C67953" w:rsidP="00783153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953" w:rsidRPr="002005AE" w:rsidRDefault="00C67953" w:rsidP="00783153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953" w:rsidRPr="002005AE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953" w:rsidRPr="002005AE" w:rsidRDefault="00C67953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953" w:rsidRPr="002005AE" w:rsidRDefault="00C67953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953" w:rsidRPr="002005AE" w:rsidRDefault="00C67953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C67953" w:rsidRPr="002005AE" w:rsidRDefault="00C67953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953" w:rsidRPr="002005AE" w:rsidRDefault="00C67953" w:rsidP="007831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C67953" w:rsidRPr="002005AE" w:rsidRDefault="00C67953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C67953" w:rsidRPr="002005AE" w:rsidRDefault="00C67953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953" w:rsidRPr="002005AE" w:rsidRDefault="00C67953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C67953" w:rsidRPr="002005AE" w:rsidRDefault="00C67953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C67953" w:rsidRPr="005C3473" w:rsidTr="00783153">
        <w:trPr>
          <w:trHeight w:val="213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953" w:rsidRPr="00220D36" w:rsidRDefault="00821AE9" w:rsidP="00783153">
            <w:pPr>
              <w:jc w:val="both"/>
              <w:rPr>
                <w:rFonts w:ascii="Calibri" w:hAnsi="Calibri" w:cs="Calibri"/>
                <w:u w:val="single"/>
              </w:rPr>
            </w:pPr>
            <w:r w:rsidRPr="00220D36">
              <w:rPr>
                <w:rFonts w:ascii="Calibri" w:hAnsi="Calibri" w:cs="Calibri"/>
                <w:u w:val="single"/>
              </w:rPr>
              <w:t>Ustnik gastroskopowy</w:t>
            </w:r>
          </w:p>
          <w:p w:rsidR="00821AE9" w:rsidRPr="00220D36" w:rsidRDefault="00821AE9" w:rsidP="00821AE9">
            <w:pPr>
              <w:jc w:val="both"/>
              <w:rPr>
                <w:rFonts w:ascii="Calibri" w:hAnsi="Calibri" w:cs="Calibri"/>
                <w:u w:val="single"/>
              </w:rPr>
            </w:pPr>
            <w:r w:rsidRPr="00220D36">
              <w:rPr>
                <w:rFonts w:ascii="Calibri" w:hAnsi="Calibri" w:cs="Calibri"/>
              </w:rPr>
              <w:t xml:space="preserve">Ustnik endoskopowy z otworem centralnym o średnicy 22mm x 27mm, ze wstępnie założoną po jednej stronie gumką tekstylną. Nie zawiera lateksu. Otwory w gumce co 15 mm dające wiele możliwości w zakresie poprawnego mocowania ustnika. Ustnik posiadający wypustki plastikowe na części wewnętrznej zapobiegające przesuwaniu ustnika na uzębieniu pacjenta. Sterylizowany tlenkiem etylenu. Pakowany pojedynczo, z oznaczeniem nr katalogowego, LOT, datą produkcji, datą ważności i danymi producenta. Opakowanie handlowe </w:t>
            </w:r>
            <w:r w:rsidRPr="002F580A">
              <w:rPr>
                <w:rFonts w:ascii="Calibri" w:hAnsi="Calibri" w:cs="Calibri"/>
                <w:color w:val="000000" w:themeColor="text1"/>
              </w:rPr>
              <w:t>nie mniejsze niż 100 sztuk.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7953" w:rsidRPr="005C3473" w:rsidRDefault="00C67953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7953" w:rsidRPr="005C3473" w:rsidRDefault="00C67953" w:rsidP="00783153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67953" w:rsidRPr="005C3473" w:rsidRDefault="00981852" w:rsidP="007831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953" w:rsidRPr="005C3473" w:rsidTr="00783153">
        <w:trPr>
          <w:trHeight w:val="278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953" w:rsidRPr="00220D36" w:rsidRDefault="00821AE9" w:rsidP="00783153">
            <w:pPr>
              <w:jc w:val="both"/>
              <w:rPr>
                <w:rFonts w:ascii="Calibri" w:hAnsi="Calibri" w:cs="Calibri"/>
                <w:u w:val="single"/>
              </w:rPr>
            </w:pPr>
            <w:r w:rsidRPr="00220D36">
              <w:rPr>
                <w:rFonts w:ascii="Calibri" w:hAnsi="Calibri" w:cs="Calibri"/>
                <w:u w:val="single"/>
              </w:rPr>
              <w:t>Ustnik gastroskopowy z silikonową osłoną uzębienia</w:t>
            </w:r>
          </w:p>
          <w:p w:rsidR="00821AE9" w:rsidRPr="00220D36" w:rsidRDefault="007B7F08" w:rsidP="00783153">
            <w:pPr>
              <w:jc w:val="both"/>
              <w:rPr>
                <w:rFonts w:ascii="Calibri" w:hAnsi="Calibri" w:cs="Calibri"/>
                <w:u w:val="single"/>
              </w:rPr>
            </w:pPr>
            <w:r w:rsidRPr="00220D36">
              <w:rPr>
                <w:rFonts w:ascii="Calibri" w:hAnsi="Calibri" w:cs="Calibri"/>
              </w:rPr>
              <w:t>Ustnik endoskopowy z otworem centralnym</w:t>
            </w:r>
            <w:r w:rsidR="00DC2866">
              <w:rPr>
                <w:rFonts w:ascii="Calibri" w:hAnsi="Calibri" w:cs="Calibri"/>
              </w:rPr>
              <w:t xml:space="preserve"> o średnicy 22mm x 27mm, ze wstę</w:t>
            </w:r>
            <w:r w:rsidRPr="00220D36">
              <w:rPr>
                <w:rFonts w:ascii="Calibri" w:hAnsi="Calibri" w:cs="Calibri"/>
              </w:rPr>
              <w:t xml:space="preserve">pnie założoną po jednej stronie gumką tekstylną. Nie zawiera lateksu. Otwory w gumce co 15 mm dające wiele możliwości w </w:t>
            </w:r>
            <w:r w:rsidRPr="00220D36">
              <w:rPr>
                <w:rFonts w:ascii="Calibri" w:hAnsi="Calibri" w:cs="Calibri"/>
              </w:rPr>
              <w:lastRenderedPageBreak/>
              <w:t xml:space="preserve">zakresie poprawnego mocowania ustnika. Ustnik posiadający </w:t>
            </w:r>
            <w:r w:rsidRPr="00BD6CAE">
              <w:rPr>
                <w:rFonts w:ascii="Calibri" w:hAnsi="Calibri" w:cs="Calibri"/>
                <w:bCs/>
              </w:rPr>
              <w:t>silikonową osłonę uzębienia</w:t>
            </w:r>
            <w:r w:rsidRPr="00220D36">
              <w:rPr>
                <w:rFonts w:ascii="Calibri" w:hAnsi="Calibri" w:cs="Calibri"/>
              </w:rPr>
              <w:t xml:space="preserve"> pacjenta. Pakowany pojedynczo, w zestawie  3 etykiety samoprzylepne do dokumentacji z nr katalogowym, nr LOT, datą ważności oraz danymi producenta.  Opakowanie handlowe </w:t>
            </w:r>
            <w:r w:rsidRPr="002F580A">
              <w:rPr>
                <w:rFonts w:ascii="Calibri" w:hAnsi="Calibri" w:cs="Calibri"/>
                <w:color w:val="000000" w:themeColor="text1"/>
              </w:rPr>
              <w:t>nie mniejsze niż 100 sztuk.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7953" w:rsidRPr="005C3473" w:rsidRDefault="00C67953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7953" w:rsidRPr="005C3473" w:rsidRDefault="00C67953" w:rsidP="00783153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67953" w:rsidRPr="005C3473" w:rsidRDefault="00981852" w:rsidP="007831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953" w:rsidRPr="005C3473" w:rsidTr="00783153">
        <w:trPr>
          <w:trHeight w:val="232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953" w:rsidRPr="00220D36" w:rsidRDefault="00C720E6" w:rsidP="00783153">
            <w:pPr>
              <w:jc w:val="both"/>
              <w:rPr>
                <w:rFonts w:ascii="Calibri" w:hAnsi="Calibri" w:cs="Calibri"/>
                <w:u w:val="single"/>
              </w:rPr>
            </w:pPr>
            <w:r w:rsidRPr="00220D36">
              <w:rPr>
                <w:rFonts w:ascii="Calibri" w:hAnsi="Calibri" w:cs="Calibri"/>
                <w:u w:val="single"/>
              </w:rPr>
              <w:t>Korek do kanałów biopsyjnych</w:t>
            </w:r>
          </w:p>
          <w:p w:rsidR="00C720E6" w:rsidRPr="00220D36" w:rsidRDefault="00C720E6" w:rsidP="00783153">
            <w:pPr>
              <w:jc w:val="both"/>
              <w:rPr>
                <w:rFonts w:ascii="Calibri" w:hAnsi="Calibri" w:cs="Calibri"/>
                <w:u w:val="single"/>
              </w:rPr>
            </w:pPr>
            <w:r w:rsidRPr="00220D36">
              <w:rPr>
                <w:rFonts w:ascii="Calibri" w:hAnsi="Calibri" w:cs="Calibri"/>
              </w:rPr>
              <w:t xml:space="preserve">Korek do kanałów biopsyjnych gumowy, sterylny, jednorazowego użytku. Kompatybilny z aparatami Olympus, Fujinon lub Pentax (do wyboru Zamawiającego).  Opakowanie handlowe </w:t>
            </w:r>
            <w:r w:rsidRPr="009E7FA0">
              <w:rPr>
                <w:rFonts w:ascii="Calibri" w:hAnsi="Calibri" w:cs="Calibri"/>
                <w:color w:val="000000" w:themeColor="text1"/>
              </w:rPr>
              <w:t>nie mniejsze niż 100 sztuk.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7953" w:rsidRPr="005C3473" w:rsidRDefault="00C67953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7953" w:rsidRPr="005C3473" w:rsidRDefault="00C67953" w:rsidP="00783153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67953" w:rsidRPr="005C3473" w:rsidRDefault="00864670" w:rsidP="007831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953" w:rsidRPr="005C3473" w:rsidRDefault="00C67953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3CDC" w:rsidRPr="005C3473" w:rsidTr="00783153">
        <w:trPr>
          <w:trHeight w:val="232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CDC" w:rsidRPr="005C3473" w:rsidRDefault="00513CDC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CDC" w:rsidRPr="00220D36" w:rsidRDefault="00E02448" w:rsidP="00783153">
            <w:pPr>
              <w:jc w:val="both"/>
              <w:rPr>
                <w:rFonts w:ascii="Calibri" w:hAnsi="Calibri" w:cs="Calibri"/>
                <w:u w:val="single"/>
              </w:rPr>
            </w:pPr>
            <w:r w:rsidRPr="00220D36">
              <w:rPr>
                <w:rFonts w:ascii="Calibri" w:hAnsi="Calibri" w:cs="Calibri"/>
                <w:u w:val="single"/>
              </w:rPr>
              <w:t>Marker endoskopowy</w:t>
            </w:r>
            <w:r w:rsidR="00864670">
              <w:rPr>
                <w:rFonts w:ascii="Calibri" w:hAnsi="Calibri" w:cs="Calibri"/>
                <w:u w:val="single"/>
              </w:rPr>
              <w:t xml:space="preserve"> BLACK</w:t>
            </w:r>
          </w:p>
          <w:p w:rsidR="00E02448" w:rsidRPr="00220D36" w:rsidRDefault="00E02448" w:rsidP="00783153">
            <w:pPr>
              <w:jc w:val="both"/>
              <w:rPr>
                <w:rFonts w:ascii="Calibri" w:hAnsi="Calibri" w:cs="Calibri"/>
                <w:u w:val="single"/>
              </w:rPr>
            </w:pPr>
            <w:r w:rsidRPr="00220D36">
              <w:rPr>
                <w:rFonts w:ascii="Calibri" w:hAnsi="Calibri" w:cs="Calibri"/>
              </w:rPr>
              <w:t xml:space="preserve">Marker węglowy, jednorazowego użytku, sterylny, stosowany do wstrzyknięcia podśluzówkowego celem odznaczenia miejsca położenia zmiany patologicznej w obrębie przewodu pokarmowego. Opakowanie pojedyncze typu strzykawka luer lock o pojemności 5ml. Opakowanie handlowe </w:t>
            </w:r>
            <w:r w:rsidRPr="00082496">
              <w:rPr>
                <w:rFonts w:ascii="Calibri" w:hAnsi="Calibri" w:cs="Calibri"/>
                <w:color w:val="000000" w:themeColor="text1"/>
              </w:rPr>
              <w:t>nie mniejsze niż</w:t>
            </w:r>
            <w:r w:rsidR="001C122A" w:rsidRPr="0008249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082496">
              <w:rPr>
                <w:rFonts w:ascii="Calibri" w:hAnsi="Calibri" w:cs="Calibri"/>
                <w:color w:val="000000" w:themeColor="text1"/>
              </w:rPr>
              <w:t>10 sztuk.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CDC" w:rsidRPr="005C3473" w:rsidRDefault="00513CDC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13CDC" w:rsidRPr="005C3473" w:rsidRDefault="00513CDC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13CDC" w:rsidRPr="005C3473" w:rsidRDefault="00864670" w:rsidP="00783153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3CDC" w:rsidRPr="005C3473" w:rsidRDefault="00864670" w:rsidP="007831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CDC" w:rsidRPr="005C3473" w:rsidRDefault="00513CDC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CDC" w:rsidRPr="005C3473" w:rsidRDefault="00513CDC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CDC" w:rsidRPr="005C3473" w:rsidRDefault="00513CDC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CDC" w:rsidRPr="005C3473" w:rsidRDefault="00513CDC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CDC" w:rsidRPr="005C3473" w:rsidRDefault="00513CDC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3CDC" w:rsidRPr="005C3473" w:rsidTr="00783153">
        <w:trPr>
          <w:trHeight w:val="232"/>
        </w:trPr>
        <w:tc>
          <w:tcPr>
            <w:tcW w:w="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CDC" w:rsidRPr="005C3473" w:rsidRDefault="00513CDC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CDC" w:rsidRPr="00220D36" w:rsidRDefault="00DE683A" w:rsidP="00783153">
            <w:pPr>
              <w:jc w:val="both"/>
              <w:rPr>
                <w:rFonts w:ascii="Calibri" w:hAnsi="Calibri" w:cs="Calibri"/>
                <w:u w:val="single"/>
              </w:rPr>
            </w:pPr>
            <w:r w:rsidRPr="00220D36">
              <w:rPr>
                <w:rFonts w:ascii="Calibri" w:hAnsi="Calibri" w:cs="Calibri"/>
                <w:u w:val="single"/>
              </w:rPr>
              <w:t>Zawór Pentax</w:t>
            </w:r>
          </w:p>
          <w:p w:rsidR="00DE683A" w:rsidRPr="00220D36" w:rsidRDefault="00DE683A" w:rsidP="00783153">
            <w:pPr>
              <w:jc w:val="both"/>
              <w:rPr>
                <w:rFonts w:ascii="Calibri" w:hAnsi="Calibri" w:cs="Calibri"/>
                <w:u w:val="single"/>
              </w:rPr>
            </w:pPr>
            <w:r w:rsidRPr="00220D36">
              <w:rPr>
                <w:rFonts w:ascii="Calibri" w:hAnsi="Calibri" w:cs="Calibri"/>
              </w:rPr>
              <w:t xml:space="preserve">Zawór do aparatu marki Pentax, jednorazowy, sterylny. Do wyboru: powietrzno-wodny lub ssący. Opakowanie handlowe </w:t>
            </w:r>
            <w:r w:rsidR="001C122A" w:rsidRPr="004D710A">
              <w:rPr>
                <w:rFonts w:ascii="Calibri" w:hAnsi="Calibri" w:cs="Calibri"/>
                <w:color w:val="000000" w:themeColor="text1"/>
              </w:rPr>
              <w:t xml:space="preserve">nie mniejsze niż </w:t>
            </w:r>
            <w:r w:rsidRPr="004D710A">
              <w:rPr>
                <w:rFonts w:ascii="Calibri" w:hAnsi="Calibri" w:cs="Calibri"/>
                <w:color w:val="000000" w:themeColor="text1"/>
              </w:rPr>
              <w:t>10 sztuk.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CDC" w:rsidRPr="005C3473" w:rsidRDefault="00513CDC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13CDC" w:rsidRPr="005C3473" w:rsidRDefault="00513CDC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13CDC" w:rsidRPr="005C3473" w:rsidRDefault="00864670" w:rsidP="00783153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13CDC" w:rsidRPr="005C3473" w:rsidRDefault="00864670" w:rsidP="007831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CDC" w:rsidRPr="005C3473" w:rsidRDefault="00513CDC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CDC" w:rsidRPr="005C3473" w:rsidRDefault="00513CDC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CDC" w:rsidRPr="005C3473" w:rsidRDefault="00513CDC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CDC" w:rsidRPr="005C3473" w:rsidRDefault="00513CDC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CDC" w:rsidRPr="005C3473" w:rsidRDefault="00513CDC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953" w:rsidRPr="005C3473" w:rsidTr="0078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3" w:type="dxa"/>
            <w:shd w:val="clear" w:color="auto" w:fill="D9D9D9" w:themeFill="background1" w:themeFillShade="D9"/>
          </w:tcPr>
          <w:p w:rsidR="00C67953" w:rsidRPr="005C3473" w:rsidRDefault="00C67953" w:rsidP="0078315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1200" w:type="dxa"/>
            <w:gridSpan w:val="6"/>
            <w:shd w:val="clear" w:color="auto" w:fill="D9D9D9" w:themeFill="background1" w:themeFillShade="D9"/>
            <w:vAlign w:val="center"/>
          </w:tcPr>
          <w:p w:rsidR="00C67953" w:rsidRPr="005C3473" w:rsidRDefault="00C67953" w:rsidP="00513CD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C347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Suma pozycji od 1 do </w:t>
            </w:r>
            <w:r w:rsidR="00513CDC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67953" w:rsidRPr="005C3473" w:rsidRDefault="00C67953" w:rsidP="007831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953" w:rsidRPr="005C3473" w:rsidRDefault="00C67953" w:rsidP="007831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C67953" w:rsidRPr="005C3473" w:rsidRDefault="00C67953" w:rsidP="007831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C67953" w:rsidRPr="005C3473" w:rsidRDefault="00C67953" w:rsidP="007831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C67953" w:rsidRDefault="00C67953" w:rsidP="00C67953">
      <w:pPr>
        <w:rPr>
          <w:rFonts w:asciiTheme="minorHAnsi" w:hAnsiTheme="minorHAnsi" w:cstheme="minorHAnsi"/>
          <w:b/>
        </w:rPr>
      </w:pPr>
    </w:p>
    <w:p w:rsidR="009973C6" w:rsidRDefault="009973C6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802FDB" w:rsidRDefault="00802FDB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802FDB" w:rsidRDefault="00802FDB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802FDB" w:rsidRDefault="00802FDB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802FDB" w:rsidRDefault="00802FDB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802FDB" w:rsidRDefault="00802FDB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802FDB" w:rsidRDefault="00802FDB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802FDB" w:rsidRDefault="00802FDB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802FDB" w:rsidRDefault="00802FDB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802FDB" w:rsidRDefault="00802FDB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4D710A" w:rsidRDefault="004D710A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802FDB" w:rsidRDefault="00802FDB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802FDB" w:rsidRDefault="00802FDB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C67953" w:rsidRPr="00220D36" w:rsidRDefault="00220D36" w:rsidP="008D0714">
      <w:pPr>
        <w:ind w:right="-11"/>
        <w:rPr>
          <w:rFonts w:ascii="Calibri" w:hAnsi="Calibri" w:cs="Calibri"/>
          <w:b/>
          <w:sz w:val="22"/>
          <w:szCs w:val="22"/>
        </w:rPr>
      </w:pPr>
      <w:r w:rsidRPr="00220D36">
        <w:rPr>
          <w:rFonts w:ascii="Calibri" w:hAnsi="Calibri" w:cs="Calibri"/>
          <w:color w:val="000000"/>
          <w:sz w:val="22"/>
          <w:szCs w:val="22"/>
          <w:lang w:eastAsia="x-none"/>
        </w:rPr>
        <w:lastRenderedPageBreak/>
        <w:t>Grupa 7 – Pułapka jednokomorowa na ssak   CPV: 33168000-5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3"/>
        <w:gridCol w:w="3691"/>
        <w:gridCol w:w="2264"/>
        <w:gridCol w:w="1560"/>
        <w:gridCol w:w="1417"/>
        <w:gridCol w:w="1134"/>
        <w:gridCol w:w="1134"/>
        <w:gridCol w:w="1134"/>
        <w:gridCol w:w="709"/>
        <w:gridCol w:w="852"/>
        <w:gridCol w:w="1278"/>
      </w:tblGrid>
      <w:tr w:rsidR="00220D36" w:rsidRPr="009B71EE" w:rsidTr="00783153">
        <w:trPr>
          <w:trHeight w:val="17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220D36" w:rsidRPr="002005AE" w:rsidTr="00783153">
        <w:trPr>
          <w:trHeight w:val="467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220D36" w:rsidRPr="005C3473" w:rsidTr="00783153">
        <w:trPr>
          <w:trHeight w:val="213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6" w:rsidRPr="005C3473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1452" w:rsidRPr="00A41452" w:rsidRDefault="00A41452" w:rsidP="00783153">
            <w:pPr>
              <w:jc w:val="both"/>
              <w:rPr>
                <w:rFonts w:ascii="Calibri" w:hAnsi="Calibri" w:cs="Calibri"/>
                <w:u w:val="single"/>
              </w:rPr>
            </w:pPr>
            <w:r w:rsidRPr="00A41452">
              <w:rPr>
                <w:rFonts w:ascii="Calibri" w:hAnsi="Calibri" w:cs="Calibri"/>
                <w:u w:val="single"/>
              </w:rPr>
              <w:t>Pułapka jednokomorowa na ssak</w:t>
            </w:r>
          </w:p>
          <w:p w:rsidR="00220D36" w:rsidRPr="003C62E4" w:rsidRDefault="00A41452" w:rsidP="00A41452">
            <w:pPr>
              <w:jc w:val="both"/>
              <w:rPr>
                <w:rFonts w:ascii="Calibri" w:hAnsi="Calibri" w:cs="Calibri"/>
              </w:rPr>
            </w:pPr>
            <w:r w:rsidRPr="00A41452">
              <w:rPr>
                <w:rFonts w:ascii="Calibri" w:hAnsi="Calibri" w:cs="Calibri"/>
              </w:rPr>
              <w:t xml:space="preserve">Pułapka jednokomorowa na ssak, jednorazowego użytku; o średnicy zewnętrznej komory 30mm i długości drenu 125mm. Pakowana pojedynczo,  z przyrządem do usuwania pobranego materiału z szufladki, każde opakowanie zawiera 4 etykiety samoprzylepne do dokumentacji z nr katalogowym, nr LOT, datą ważności oraz danymi producenta. Opakowanie handlowe </w:t>
            </w:r>
            <w:r w:rsidRPr="00A41452">
              <w:rPr>
                <w:rFonts w:ascii="Calibri" w:hAnsi="Calibri" w:cs="Calibri"/>
                <w:color w:val="FF0000"/>
              </w:rPr>
              <w:t xml:space="preserve"> </w:t>
            </w:r>
            <w:r w:rsidRPr="004D710A">
              <w:rPr>
                <w:rFonts w:ascii="Calibri" w:hAnsi="Calibri" w:cs="Calibri"/>
                <w:color w:val="000000" w:themeColor="text1"/>
              </w:rPr>
              <w:t>nie mniejsze niż 50 sztuk.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6" w:rsidRPr="005C3473" w:rsidRDefault="00220D36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20D36" w:rsidRPr="005C3473" w:rsidRDefault="00220D36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20D36" w:rsidRPr="005C3473" w:rsidRDefault="00220D36" w:rsidP="00783153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0D36" w:rsidRPr="005C3473" w:rsidRDefault="00981852" w:rsidP="007831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6" w:rsidRPr="005C3473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6" w:rsidRPr="005C3473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6" w:rsidRPr="005C3473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6" w:rsidRPr="005C3473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6" w:rsidRPr="005C3473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67953" w:rsidRDefault="00C67953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C67953" w:rsidRDefault="00C67953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9973C6" w:rsidRDefault="009973C6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220D36" w:rsidRPr="00220D36" w:rsidRDefault="00220D36" w:rsidP="008D0714">
      <w:pPr>
        <w:ind w:right="-11"/>
        <w:rPr>
          <w:rFonts w:asciiTheme="minorHAnsi" w:hAnsiTheme="minorHAnsi" w:cstheme="minorHAnsi"/>
          <w:b/>
          <w:sz w:val="22"/>
          <w:szCs w:val="22"/>
        </w:rPr>
      </w:pPr>
      <w:r w:rsidRPr="00220D36">
        <w:rPr>
          <w:rFonts w:asciiTheme="minorHAnsi" w:hAnsiTheme="minorHAnsi" w:cstheme="minorHAnsi"/>
          <w:color w:val="000000"/>
          <w:sz w:val="22"/>
          <w:szCs w:val="22"/>
          <w:lang w:eastAsia="x-none"/>
        </w:rPr>
        <w:t>Grupa 8 – Klipsownica hemostatyczna   CPV: 33168000-5</w:t>
      </w:r>
    </w:p>
    <w:tbl>
      <w:tblPr>
        <w:tblpPr w:leftFromText="141" w:rightFromText="141" w:vertAnchor="text" w:horzAnchor="margin" w:tblpY="86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3"/>
        <w:gridCol w:w="3691"/>
        <w:gridCol w:w="2264"/>
        <w:gridCol w:w="1560"/>
        <w:gridCol w:w="1417"/>
        <w:gridCol w:w="1134"/>
        <w:gridCol w:w="1134"/>
        <w:gridCol w:w="1134"/>
        <w:gridCol w:w="709"/>
        <w:gridCol w:w="852"/>
        <w:gridCol w:w="1278"/>
      </w:tblGrid>
      <w:tr w:rsidR="00220D36" w:rsidRPr="009B71EE" w:rsidTr="00783153">
        <w:trPr>
          <w:trHeight w:val="17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= 6x</w:t>
            </w:r>
            <w:r w:rsidRPr="009B71E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= 8x</w:t>
            </w:r>
            <w:r w:rsidRPr="009B71EE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36" w:rsidRPr="009B71E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B71EE">
              <w:rPr>
                <w:rFonts w:asciiTheme="minorHAnsi" w:hAnsiTheme="minorHAnsi" w:cstheme="minorHAnsi"/>
                <w:bCs/>
              </w:rPr>
              <w:t>11 = 8+10</w:t>
            </w:r>
          </w:p>
        </w:tc>
      </w:tr>
      <w:tr w:rsidR="00220D36" w:rsidRPr="002005AE" w:rsidTr="00783153">
        <w:trPr>
          <w:trHeight w:val="467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Parametry wymagane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Potwierdzenie wymaganych parametrów (WPISAĆ  TAK/NIE LUB OPISAĆ)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05A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Nazwa producenta lub/i nazwa produktu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widowControl/>
              <w:suppressAutoHyphens w:val="0"/>
              <w:autoSpaceDE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Wymagana ilość na 24 miesiące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Cena jednostkowa netto w PLN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Wartość pozycji netto w PLN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Stawka VAT </w:t>
            </w:r>
          </w:p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w %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 xml:space="preserve">VAT </w:t>
            </w:r>
          </w:p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sz w:val="18"/>
                <w:szCs w:val="18"/>
              </w:rPr>
              <w:t>w PLN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Wartość pozycji </w:t>
            </w:r>
          </w:p>
          <w:p w:rsidR="00220D36" w:rsidRPr="002005AE" w:rsidRDefault="00220D36" w:rsidP="00783153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5AE">
              <w:rPr>
                <w:rFonts w:asciiTheme="minorHAnsi" w:hAnsiTheme="minorHAnsi" w:cstheme="minorHAnsi"/>
                <w:iCs/>
                <w:sz w:val="18"/>
                <w:szCs w:val="18"/>
              </w:rPr>
              <w:t>brutto w PLN</w:t>
            </w:r>
          </w:p>
        </w:tc>
      </w:tr>
      <w:tr w:rsidR="00220D36" w:rsidRPr="005C3473" w:rsidTr="00783153">
        <w:trPr>
          <w:trHeight w:val="213"/>
        </w:trPr>
        <w:tc>
          <w:tcPr>
            <w:tcW w:w="33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6" w:rsidRPr="005C3473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0D36" w:rsidRPr="00A41452" w:rsidRDefault="00A41452" w:rsidP="00783153">
            <w:pPr>
              <w:jc w:val="both"/>
              <w:rPr>
                <w:rFonts w:ascii="Calibri" w:hAnsi="Calibri" w:cs="Calibri"/>
                <w:u w:val="single"/>
              </w:rPr>
            </w:pPr>
            <w:r w:rsidRPr="00A41452">
              <w:rPr>
                <w:rFonts w:ascii="Calibri" w:hAnsi="Calibri" w:cs="Calibri"/>
                <w:u w:val="single"/>
              </w:rPr>
              <w:t>Klipsownica hemostatyczna</w:t>
            </w:r>
          </w:p>
          <w:p w:rsidR="00A41452" w:rsidRPr="00A41452" w:rsidRDefault="00A41452" w:rsidP="00A41452">
            <w:pPr>
              <w:jc w:val="both"/>
              <w:rPr>
                <w:rFonts w:ascii="Calibri" w:hAnsi="Calibri" w:cs="Calibri"/>
                <w:u w:val="single"/>
              </w:rPr>
            </w:pPr>
            <w:r w:rsidRPr="00A41452">
              <w:rPr>
                <w:rFonts w:ascii="Calibri" w:hAnsi="Calibri" w:cs="Calibri"/>
              </w:rPr>
              <w:t xml:space="preserve">Klipsownica hemostatyczna z załadowanym, gotowym do użycia klipsem. Obrotowa - 360 stopni w obydwu kierunkach. Możliwość wielokrotnego zamknięcia i otwarcia przed ostatecznym uwolnieniem klipsa. Średnica narzędzia 2,6mm, rozwarcie ramion klipsa 11mm (długość ramienia 9mm) i 16mm (długość ramienia 9,5mm), stopień zagięcia ramion klipsa 90 stopni i 135 stopni, długość narzędzia </w:t>
            </w:r>
            <w:r w:rsidRPr="00BD6CAE">
              <w:rPr>
                <w:rFonts w:ascii="Calibri" w:hAnsi="Calibri" w:cs="Calibri"/>
              </w:rPr>
              <w:t>2300mm</w:t>
            </w:r>
            <w:r w:rsidR="004F6DF1">
              <w:rPr>
                <w:rFonts w:ascii="Calibri" w:hAnsi="Calibri" w:cs="Calibri"/>
              </w:rPr>
              <w:t>. Możliwość re</w:t>
            </w:r>
            <w:bookmarkStart w:id="0" w:name="_GoBack"/>
            <w:bookmarkEnd w:id="0"/>
            <w:r w:rsidRPr="00A41452">
              <w:rPr>
                <w:rFonts w:ascii="Calibri" w:hAnsi="Calibri" w:cs="Calibri"/>
              </w:rPr>
              <w:t xml:space="preserve">pozycjonowania już zaaplikowanego klipsa. Uwolniony klips ma postać jednego elementu i pozbawiony jest jakichkolwiek fragmentów mogących się od niego oddzielić po uwolnieniu i tym samym </w:t>
            </w:r>
            <w:r w:rsidRPr="00A41452">
              <w:rPr>
                <w:rFonts w:ascii="Calibri" w:hAnsi="Calibri" w:cs="Calibri"/>
              </w:rPr>
              <w:lastRenderedPageBreak/>
              <w:t>uszkodzić kanał endoskopu. Klipsownica pakowana sterylnie, pojedynczo w pakiety i dodatkowo w plastikowy pancerz transportowy.  Możliwość wykonywania badań rezonansu magnetycznego u pacjentów z zaaplikowanym klipsem (warunki opisane w dołączonej instru</w:t>
            </w:r>
            <w:r>
              <w:rPr>
                <w:rFonts w:ascii="Calibri" w:hAnsi="Calibri" w:cs="Calibri"/>
              </w:rPr>
              <w:t>k</w:t>
            </w:r>
            <w:r w:rsidRPr="00A41452">
              <w:rPr>
                <w:rFonts w:ascii="Calibri" w:hAnsi="Calibri" w:cs="Calibri"/>
              </w:rPr>
              <w:t xml:space="preserve">cji użytkowania wyrobu). Opakowanie </w:t>
            </w:r>
            <w:r>
              <w:rPr>
                <w:rFonts w:ascii="Calibri" w:hAnsi="Calibri" w:cs="Calibri"/>
              </w:rPr>
              <w:t xml:space="preserve">handlowe </w:t>
            </w:r>
            <w:r w:rsidRPr="00097FDF">
              <w:rPr>
                <w:rFonts w:ascii="Calibri" w:hAnsi="Calibri" w:cs="Calibri"/>
                <w:color w:val="000000" w:themeColor="text1"/>
              </w:rPr>
              <w:t>nie mniejsze niż 10 sztuk.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6" w:rsidRPr="005C3473" w:rsidRDefault="00220D36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20D36" w:rsidRPr="005C3473" w:rsidRDefault="00220D36" w:rsidP="00783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20D36" w:rsidRPr="005C3473" w:rsidRDefault="00220D36" w:rsidP="00783153">
            <w:pPr>
              <w:jc w:val="center"/>
              <w:rPr>
                <w:rFonts w:asciiTheme="minorHAnsi" w:hAnsiTheme="minorHAnsi" w:cstheme="minorHAnsi"/>
              </w:rPr>
            </w:pPr>
            <w:r w:rsidRPr="005C3473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0D36" w:rsidRPr="005C3473" w:rsidRDefault="00EF1A68" w:rsidP="007831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6" w:rsidRPr="005C3473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6" w:rsidRPr="005C3473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6" w:rsidRPr="005C3473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6" w:rsidRPr="005C3473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D36" w:rsidRPr="005C3473" w:rsidRDefault="00220D36" w:rsidP="00783153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20D36" w:rsidRDefault="00220D36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220D36" w:rsidRDefault="00220D36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220D36" w:rsidRDefault="00220D36" w:rsidP="008D0714">
      <w:pPr>
        <w:ind w:right="-11"/>
        <w:rPr>
          <w:rFonts w:ascii="Times New Roman" w:hAnsi="Times New Roman"/>
          <w:b/>
          <w:sz w:val="14"/>
          <w:szCs w:val="16"/>
        </w:rPr>
      </w:pPr>
    </w:p>
    <w:p w:rsidR="009B71EE" w:rsidRPr="009B71EE" w:rsidRDefault="009B71EE" w:rsidP="009B71EE">
      <w:pPr>
        <w:numPr>
          <w:ilvl w:val="0"/>
          <w:numId w:val="4"/>
        </w:numPr>
        <w:suppressAutoHyphens w:val="0"/>
        <w:autoSpaceDN w:val="0"/>
        <w:adjustRightInd w:val="0"/>
        <w:ind w:left="357" w:hanging="357"/>
        <w:contextualSpacing/>
        <w:jc w:val="both"/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</w:pPr>
      <w:r w:rsidRPr="009B71EE">
        <w:rPr>
          <w:rFonts w:ascii="Calibri" w:eastAsia="Arial Unicode MS" w:hAnsi="Calibri" w:cs="Calibri"/>
          <w:bCs/>
          <w:sz w:val="24"/>
          <w:szCs w:val="24"/>
          <w:lang w:val="x-none" w:eastAsia="ar-SA"/>
        </w:rPr>
        <w:t>Załącznik nr 1 pn. „Przedmiot zamówienia/szczegółowy formularz cenowy” wypełniony i podpisany przez osobę uprawnioną, wykonawca musi załączyć do oferty.</w:t>
      </w:r>
    </w:p>
    <w:p w:rsidR="009B71EE" w:rsidRPr="009B71EE" w:rsidRDefault="009B71EE" w:rsidP="009B71EE">
      <w:pPr>
        <w:numPr>
          <w:ilvl w:val="0"/>
          <w:numId w:val="4"/>
        </w:numPr>
        <w:suppressAutoHyphens w:val="0"/>
        <w:autoSpaceDN w:val="0"/>
        <w:adjustRightInd w:val="0"/>
        <w:ind w:left="357" w:hanging="357"/>
        <w:contextualSpacing/>
        <w:jc w:val="both"/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</w:pPr>
      <w:r w:rsidRPr="009B71EE">
        <w:rPr>
          <w:rFonts w:ascii="Calibri" w:eastAsia="Arial Unicode MS" w:hAnsi="Calibri" w:cs="Calibri"/>
          <w:sz w:val="24"/>
          <w:szCs w:val="24"/>
          <w:lang w:val="x-none" w:eastAsia="ar-SA"/>
        </w:rPr>
        <w:t>Oświadczamy, że zaoferowany przedmiot zamówienia jest zgodny z wymogami określonymi przez zamawiającego.</w:t>
      </w:r>
    </w:p>
    <w:p w:rsidR="009B71EE" w:rsidRPr="009B71EE" w:rsidRDefault="009B71EE" w:rsidP="009B71EE">
      <w:pPr>
        <w:numPr>
          <w:ilvl w:val="0"/>
          <w:numId w:val="4"/>
        </w:numPr>
        <w:suppressAutoHyphens w:val="0"/>
        <w:autoSpaceDN w:val="0"/>
        <w:adjustRightInd w:val="0"/>
        <w:ind w:left="357" w:hanging="357"/>
        <w:contextualSpacing/>
        <w:jc w:val="both"/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</w:pPr>
      <w:r w:rsidRPr="009B71EE">
        <w:rPr>
          <w:rFonts w:ascii="Calibri" w:eastAsia="Arial Unicode MS" w:hAnsi="Calibri" w:cs="Calibri"/>
          <w:color w:val="000000"/>
          <w:sz w:val="24"/>
          <w:szCs w:val="24"/>
          <w:lang w:val="x-none" w:eastAsia="ar-SA"/>
        </w:rPr>
        <w:t>Zaleca się, aby wykonawca w nadesłanych dokumentach wymienionych w SWZ (rozdział III, ppkt. 1.7.1), zaznaczył (poprzez wyróżnienie, podkreślenie itd., za pomocą edycji elektronicznej dokumentu) informacje potwierdzające zaoferowane parametry wraz z dokładnym odniesieniem, którego parametru oferowanego dotyczą (np. poprzez podanie numeru porządkowego, lp.).</w:t>
      </w:r>
    </w:p>
    <w:p w:rsidR="00D94FA7" w:rsidRPr="00D11933" w:rsidRDefault="00D94FA7" w:rsidP="006B48EB">
      <w:pPr>
        <w:ind w:right="-11"/>
        <w:rPr>
          <w:rFonts w:ascii="Times New Roman" w:hAnsi="Times New Roman"/>
          <w:b/>
          <w:sz w:val="14"/>
          <w:szCs w:val="16"/>
        </w:rPr>
      </w:pPr>
    </w:p>
    <w:sectPr w:rsidR="00D94FA7" w:rsidRPr="00D11933" w:rsidSect="003929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7D" w:rsidRDefault="004B647D" w:rsidP="0060309B">
      <w:r>
        <w:separator/>
      </w:r>
    </w:p>
  </w:endnote>
  <w:endnote w:type="continuationSeparator" w:id="0">
    <w:p w:rsidR="004B647D" w:rsidRDefault="004B647D" w:rsidP="0060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7D" w:rsidRDefault="004B647D" w:rsidP="0060309B">
      <w:r>
        <w:separator/>
      </w:r>
    </w:p>
  </w:footnote>
  <w:footnote w:type="continuationSeparator" w:id="0">
    <w:p w:rsidR="004B647D" w:rsidRDefault="004B647D" w:rsidP="0060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12BC"/>
    <w:multiLevelType w:val="hybridMultilevel"/>
    <w:tmpl w:val="823E2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01C28"/>
    <w:multiLevelType w:val="hybridMultilevel"/>
    <w:tmpl w:val="A7F6F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6F3F"/>
    <w:multiLevelType w:val="multilevel"/>
    <w:tmpl w:val="296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43386"/>
    <w:multiLevelType w:val="multilevel"/>
    <w:tmpl w:val="9A1E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1BF"/>
    <w:rsid w:val="000028E3"/>
    <w:rsid w:val="00002FBE"/>
    <w:rsid w:val="0000526E"/>
    <w:rsid w:val="00007E7A"/>
    <w:rsid w:val="000144CC"/>
    <w:rsid w:val="00014EF9"/>
    <w:rsid w:val="00016624"/>
    <w:rsid w:val="000210D2"/>
    <w:rsid w:val="00021EA6"/>
    <w:rsid w:val="00022624"/>
    <w:rsid w:val="000231D5"/>
    <w:rsid w:val="00023D76"/>
    <w:rsid w:val="0002434C"/>
    <w:rsid w:val="00025E7B"/>
    <w:rsid w:val="0003098D"/>
    <w:rsid w:val="00035B1F"/>
    <w:rsid w:val="0003622A"/>
    <w:rsid w:val="00037DFA"/>
    <w:rsid w:val="000401AC"/>
    <w:rsid w:val="00055761"/>
    <w:rsid w:val="00061AC9"/>
    <w:rsid w:val="00062C63"/>
    <w:rsid w:val="0006402C"/>
    <w:rsid w:val="00065ED8"/>
    <w:rsid w:val="00071EF3"/>
    <w:rsid w:val="00075006"/>
    <w:rsid w:val="00075868"/>
    <w:rsid w:val="00077664"/>
    <w:rsid w:val="00080A2F"/>
    <w:rsid w:val="00081A60"/>
    <w:rsid w:val="00082496"/>
    <w:rsid w:val="00082643"/>
    <w:rsid w:val="00083E59"/>
    <w:rsid w:val="00087008"/>
    <w:rsid w:val="000964A7"/>
    <w:rsid w:val="00097FDF"/>
    <w:rsid w:val="000A57D4"/>
    <w:rsid w:val="000A592E"/>
    <w:rsid w:val="000A5964"/>
    <w:rsid w:val="000A7CE5"/>
    <w:rsid w:val="000C0679"/>
    <w:rsid w:val="000C3856"/>
    <w:rsid w:val="000C3A62"/>
    <w:rsid w:val="000C5AF7"/>
    <w:rsid w:val="000C7387"/>
    <w:rsid w:val="000D33CD"/>
    <w:rsid w:val="000D3FFC"/>
    <w:rsid w:val="000D7046"/>
    <w:rsid w:val="000E004F"/>
    <w:rsid w:val="000E24E7"/>
    <w:rsid w:val="000E60B7"/>
    <w:rsid w:val="000F4CAC"/>
    <w:rsid w:val="000F75C9"/>
    <w:rsid w:val="00103077"/>
    <w:rsid w:val="00106A68"/>
    <w:rsid w:val="00107430"/>
    <w:rsid w:val="00114E53"/>
    <w:rsid w:val="001173D9"/>
    <w:rsid w:val="00122572"/>
    <w:rsid w:val="0012351F"/>
    <w:rsid w:val="00125A0D"/>
    <w:rsid w:val="00131923"/>
    <w:rsid w:val="00143015"/>
    <w:rsid w:val="00143AC7"/>
    <w:rsid w:val="001444E2"/>
    <w:rsid w:val="0014622E"/>
    <w:rsid w:val="00146386"/>
    <w:rsid w:val="001511AB"/>
    <w:rsid w:val="00152205"/>
    <w:rsid w:val="0015401E"/>
    <w:rsid w:val="00160295"/>
    <w:rsid w:val="00160BD0"/>
    <w:rsid w:val="001701D9"/>
    <w:rsid w:val="00172868"/>
    <w:rsid w:val="00174618"/>
    <w:rsid w:val="00176E57"/>
    <w:rsid w:val="00181982"/>
    <w:rsid w:val="001826EB"/>
    <w:rsid w:val="00186EE4"/>
    <w:rsid w:val="001921AF"/>
    <w:rsid w:val="00193031"/>
    <w:rsid w:val="001943CD"/>
    <w:rsid w:val="00196F35"/>
    <w:rsid w:val="00197408"/>
    <w:rsid w:val="001A193B"/>
    <w:rsid w:val="001A1F9C"/>
    <w:rsid w:val="001B048A"/>
    <w:rsid w:val="001B5BDA"/>
    <w:rsid w:val="001C122A"/>
    <w:rsid w:val="001C36CA"/>
    <w:rsid w:val="001D044F"/>
    <w:rsid w:val="001D566B"/>
    <w:rsid w:val="001D63CF"/>
    <w:rsid w:val="001E1709"/>
    <w:rsid w:val="001E19DE"/>
    <w:rsid w:val="001E30ED"/>
    <w:rsid w:val="001E48B7"/>
    <w:rsid w:val="001F28FC"/>
    <w:rsid w:val="001F3397"/>
    <w:rsid w:val="001F45FF"/>
    <w:rsid w:val="001F534B"/>
    <w:rsid w:val="002005AE"/>
    <w:rsid w:val="00201E20"/>
    <w:rsid w:val="002053FD"/>
    <w:rsid w:val="002059E5"/>
    <w:rsid w:val="0021044E"/>
    <w:rsid w:val="00213193"/>
    <w:rsid w:val="00214AD4"/>
    <w:rsid w:val="002165D6"/>
    <w:rsid w:val="00220001"/>
    <w:rsid w:val="00220D36"/>
    <w:rsid w:val="002314AF"/>
    <w:rsid w:val="002347BE"/>
    <w:rsid w:val="002405B4"/>
    <w:rsid w:val="00240B38"/>
    <w:rsid w:val="00243CDB"/>
    <w:rsid w:val="0024599B"/>
    <w:rsid w:val="00263F9D"/>
    <w:rsid w:val="002755C8"/>
    <w:rsid w:val="0028026E"/>
    <w:rsid w:val="00280571"/>
    <w:rsid w:val="00281C26"/>
    <w:rsid w:val="0028236A"/>
    <w:rsid w:val="002866AE"/>
    <w:rsid w:val="00295017"/>
    <w:rsid w:val="002A14B3"/>
    <w:rsid w:val="002A177D"/>
    <w:rsid w:val="002A2A80"/>
    <w:rsid w:val="002A3558"/>
    <w:rsid w:val="002A43C3"/>
    <w:rsid w:val="002A4CAD"/>
    <w:rsid w:val="002A7204"/>
    <w:rsid w:val="002C1AB8"/>
    <w:rsid w:val="002C46FD"/>
    <w:rsid w:val="002D2A95"/>
    <w:rsid w:val="002D65FD"/>
    <w:rsid w:val="002E446E"/>
    <w:rsid w:val="002E5796"/>
    <w:rsid w:val="002E678D"/>
    <w:rsid w:val="002E6792"/>
    <w:rsid w:val="002F580A"/>
    <w:rsid w:val="002F601A"/>
    <w:rsid w:val="003046C9"/>
    <w:rsid w:val="003154EB"/>
    <w:rsid w:val="00321D99"/>
    <w:rsid w:val="00322CCE"/>
    <w:rsid w:val="00324A5D"/>
    <w:rsid w:val="00326FE8"/>
    <w:rsid w:val="003279A5"/>
    <w:rsid w:val="00340879"/>
    <w:rsid w:val="00342321"/>
    <w:rsid w:val="003427B0"/>
    <w:rsid w:val="00343890"/>
    <w:rsid w:val="00344D49"/>
    <w:rsid w:val="00346A2F"/>
    <w:rsid w:val="00357E90"/>
    <w:rsid w:val="003622EC"/>
    <w:rsid w:val="00365AC9"/>
    <w:rsid w:val="0037415D"/>
    <w:rsid w:val="00375556"/>
    <w:rsid w:val="00390305"/>
    <w:rsid w:val="00392966"/>
    <w:rsid w:val="003969E0"/>
    <w:rsid w:val="003A0F58"/>
    <w:rsid w:val="003A664D"/>
    <w:rsid w:val="003B04F9"/>
    <w:rsid w:val="003B554B"/>
    <w:rsid w:val="003B621D"/>
    <w:rsid w:val="003B7CAE"/>
    <w:rsid w:val="003C62E4"/>
    <w:rsid w:val="003D2C8E"/>
    <w:rsid w:val="003D3347"/>
    <w:rsid w:val="003D3C47"/>
    <w:rsid w:val="003D3DCC"/>
    <w:rsid w:val="003D66C0"/>
    <w:rsid w:val="003D6CD3"/>
    <w:rsid w:val="003D7C08"/>
    <w:rsid w:val="003D7E0D"/>
    <w:rsid w:val="003E7A5E"/>
    <w:rsid w:val="003F130E"/>
    <w:rsid w:val="003F2B78"/>
    <w:rsid w:val="003F3696"/>
    <w:rsid w:val="003F62E3"/>
    <w:rsid w:val="003F65C3"/>
    <w:rsid w:val="003F749A"/>
    <w:rsid w:val="004004EE"/>
    <w:rsid w:val="00404DE6"/>
    <w:rsid w:val="00410336"/>
    <w:rsid w:val="00411E5F"/>
    <w:rsid w:val="004165EE"/>
    <w:rsid w:val="00420B03"/>
    <w:rsid w:val="004213D1"/>
    <w:rsid w:val="00426900"/>
    <w:rsid w:val="00430A6C"/>
    <w:rsid w:val="00442AC4"/>
    <w:rsid w:val="00443DEF"/>
    <w:rsid w:val="004445F9"/>
    <w:rsid w:val="00446962"/>
    <w:rsid w:val="00450F8F"/>
    <w:rsid w:val="004528BD"/>
    <w:rsid w:val="00453FE2"/>
    <w:rsid w:val="004549C5"/>
    <w:rsid w:val="004554C1"/>
    <w:rsid w:val="0046171A"/>
    <w:rsid w:val="00461887"/>
    <w:rsid w:val="00472E47"/>
    <w:rsid w:val="00483943"/>
    <w:rsid w:val="0048471A"/>
    <w:rsid w:val="00485032"/>
    <w:rsid w:val="00492451"/>
    <w:rsid w:val="00492D11"/>
    <w:rsid w:val="004A206C"/>
    <w:rsid w:val="004A2DA9"/>
    <w:rsid w:val="004A42C2"/>
    <w:rsid w:val="004A56A4"/>
    <w:rsid w:val="004A5ACD"/>
    <w:rsid w:val="004A7692"/>
    <w:rsid w:val="004B03FF"/>
    <w:rsid w:val="004B4D95"/>
    <w:rsid w:val="004B647D"/>
    <w:rsid w:val="004C06F7"/>
    <w:rsid w:val="004C39BE"/>
    <w:rsid w:val="004C68DA"/>
    <w:rsid w:val="004D23F8"/>
    <w:rsid w:val="004D48D2"/>
    <w:rsid w:val="004D710A"/>
    <w:rsid w:val="004F57EE"/>
    <w:rsid w:val="004F6DF1"/>
    <w:rsid w:val="0051293E"/>
    <w:rsid w:val="00513CDC"/>
    <w:rsid w:val="00533001"/>
    <w:rsid w:val="00533100"/>
    <w:rsid w:val="00533E01"/>
    <w:rsid w:val="00534238"/>
    <w:rsid w:val="00535A8B"/>
    <w:rsid w:val="005371CD"/>
    <w:rsid w:val="00540F9C"/>
    <w:rsid w:val="005535B3"/>
    <w:rsid w:val="00561698"/>
    <w:rsid w:val="00561837"/>
    <w:rsid w:val="00563DD0"/>
    <w:rsid w:val="00571C93"/>
    <w:rsid w:val="0058160A"/>
    <w:rsid w:val="005823A5"/>
    <w:rsid w:val="00584D93"/>
    <w:rsid w:val="00591C6A"/>
    <w:rsid w:val="00595382"/>
    <w:rsid w:val="005B4A60"/>
    <w:rsid w:val="005C1EA3"/>
    <w:rsid w:val="005C3473"/>
    <w:rsid w:val="005C396F"/>
    <w:rsid w:val="005C45FE"/>
    <w:rsid w:val="005C4F77"/>
    <w:rsid w:val="005C7C39"/>
    <w:rsid w:val="005D3B21"/>
    <w:rsid w:val="005E6FC2"/>
    <w:rsid w:val="005F0111"/>
    <w:rsid w:val="005F0452"/>
    <w:rsid w:val="005F0467"/>
    <w:rsid w:val="005F3E80"/>
    <w:rsid w:val="005F4864"/>
    <w:rsid w:val="00602022"/>
    <w:rsid w:val="0060309B"/>
    <w:rsid w:val="00607234"/>
    <w:rsid w:val="00607936"/>
    <w:rsid w:val="006120DF"/>
    <w:rsid w:val="006124AD"/>
    <w:rsid w:val="0061504D"/>
    <w:rsid w:val="00621008"/>
    <w:rsid w:val="00623686"/>
    <w:rsid w:val="00634F1C"/>
    <w:rsid w:val="00636167"/>
    <w:rsid w:val="00642212"/>
    <w:rsid w:val="00653569"/>
    <w:rsid w:val="00653C7B"/>
    <w:rsid w:val="006602CB"/>
    <w:rsid w:val="00664617"/>
    <w:rsid w:val="006819DA"/>
    <w:rsid w:val="00682155"/>
    <w:rsid w:val="00686A14"/>
    <w:rsid w:val="00697360"/>
    <w:rsid w:val="00697A0D"/>
    <w:rsid w:val="006A65A9"/>
    <w:rsid w:val="006B27F5"/>
    <w:rsid w:val="006B48EB"/>
    <w:rsid w:val="006B55EC"/>
    <w:rsid w:val="006B6A94"/>
    <w:rsid w:val="006C2B2E"/>
    <w:rsid w:val="006E161B"/>
    <w:rsid w:val="006E71F0"/>
    <w:rsid w:val="006F08ED"/>
    <w:rsid w:val="006F2839"/>
    <w:rsid w:val="00707474"/>
    <w:rsid w:val="00716D2A"/>
    <w:rsid w:val="007174DB"/>
    <w:rsid w:val="007179FC"/>
    <w:rsid w:val="00721A9B"/>
    <w:rsid w:val="007223BF"/>
    <w:rsid w:val="007234C3"/>
    <w:rsid w:val="0072680B"/>
    <w:rsid w:val="00737E6C"/>
    <w:rsid w:val="007463CA"/>
    <w:rsid w:val="00750FCF"/>
    <w:rsid w:val="00751A6F"/>
    <w:rsid w:val="00754F5E"/>
    <w:rsid w:val="00755BCF"/>
    <w:rsid w:val="00756D57"/>
    <w:rsid w:val="00757DAA"/>
    <w:rsid w:val="00772264"/>
    <w:rsid w:val="00781DDF"/>
    <w:rsid w:val="0078228C"/>
    <w:rsid w:val="007824E5"/>
    <w:rsid w:val="007856A8"/>
    <w:rsid w:val="007859B6"/>
    <w:rsid w:val="00785ACE"/>
    <w:rsid w:val="00790D13"/>
    <w:rsid w:val="00791D7D"/>
    <w:rsid w:val="00794800"/>
    <w:rsid w:val="00797F24"/>
    <w:rsid w:val="007A0C67"/>
    <w:rsid w:val="007B0FBB"/>
    <w:rsid w:val="007B1ABA"/>
    <w:rsid w:val="007B4B22"/>
    <w:rsid w:val="007B6903"/>
    <w:rsid w:val="007B697A"/>
    <w:rsid w:val="007B7F08"/>
    <w:rsid w:val="007C05EE"/>
    <w:rsid w:val="007C17AE"/>
    <w:rsid w:val="007C1E3C"/>
    <w:rsid w:val="007C5282"/>
    <w:rsid w:val="007D357F"/>
    <w:rsid w:val="007E0957"/>
    <w:rsid w:val="007E1E9B"/>
    <w:rsid w:val="007E3377"/>
    <w:rsid w:val="007E42DA"/>
    <w:rsid w:val="007E616A"/>
    <w:rsid w:val="007F21F7"/>
    <w:rsid w:val="007F354C"/>
    <w:rsid w:val="007F44D4"/>
    <w:rsid w:val="00801C64"/>
    <w:rsid w:val="00802220"/>
    <w:rsid w:val="00802FDB"/>
    <w:rsid w:val="008109BF"/>
    <w:rsid w:val="00817160"/>
    <w:rsid w:val="0082163E"/>
    <w:rsid w:val="00821AE9"/>
    <w:rsid w:val="00826D33"/>
    <w:rsid w:val="00831F69"/>
    <w:rsid w:val="00835B6B"/>
    <w:rsid w:val="00843155"/>
    <w:rsid w:val="00843707"/>
    <w:rsid w:val="00846189"/>
    <w:rsid w:val="00850645"/>
    <w:rsid w:val="008525B4"/>
    <w:rsid w:val="00853323"/>
    <w:rsid w:val="00862481"/>
    <w:rsid w:val="00862FB6"/>
    <w:rsid w:val="00864670"/>
    <w:rsid w:val="00865E06"/>
    <w:rsid w:val="00865E52"/>
    <w:rsid w:val="00872B69"/>
    <w:rsid w:val="00873185"/>
    <w:rsid w:val="008755E7"/>
    <w:rsid w:val="008760CB"/>
    <w:rsid w:val="00884951"/>
    <w:rsid w:val="008865F5"/>
    <w:rsid w:val="008A39B6"/>
    <w:rsid w:val="008B1963"/>
    <w:rsid w:val="008C2186"/>
    <w:rsid w:val="008C40C7"/>
    <w:rsid w:val="008C4569"/>
    <w:rsid w:val="008D0714"/>
    <w:rsid w:val="008D24F9"/>
    <w:rsid w:val="008D50AD"/>
    <w:rsid w:val="008E1570"/>
    <w:rsid w:val="008E15FF"/>
    <w:rsid w:val="008E5B73"/>
    <w:rsid w:val="008E7CF5"/>
    <w:rsid w:val="008F52E8"/>
    <w:rsid w:val="009054CA"/>
    <w:rsid w:val="00914E67"/>
    <w:rsid w:val="009319A5"/>
    <w:rsid w:val="009469D0"/>
    <w:rsid w:val="009519AD"/>
    <w:rsid w:val="0095636C"/>
    <w:rsid w:val="0096663F"/>
    <w:rsid w:val="00975AE2"/>
    <w:rsid w:val="0098017E"/>
    <w:rsid w:val="00981292"/>
    <w:rsid w:val="00981852"/>
    <w:rsid w:val="00983A90"/>
    <w:rsid w:val="00984EF5"/>
    <w:rsid w:val="009879C5"/>
    <w:rsid w:val="00993920"/>
    <w:rsid w:val="00995B8D"/>
    <w:rsid w:val="00995BDE"/>
    <w:rsid w:val="00996EF7"/>
    <w:rsid w:val="009973C6"/>
    <w:rsid w:val="009A0B3C"/>
    <w:rsid w:val="009A3F1A"/>
    <w:rsid w:val="009A4538"/>
    <w:rsid w:val="009B13E8"/>
    <w:rsid w:val="009B271F"/>
    <w:rsid w:val="009B7003"/>
    <w:rsid w:val="009B71EE"/>
    <w:rsid w:val="009C6819"/>
    <w:rsid w:val="009D360F"/>
    <w:rsid w:val="009D54D0"/>
    <w:rsid w:val="009D7C21"/>
    <w:rsid w:val="009E7FA0"/>
    <w:rsid w:val="009F034E"/>
    <w:rsid w:val="00A029E4"/>
    <w:rsid w:val="00A0333D"/>
    <w:rsid w:val="00A05326"/>
    <w:rsid w:val="00A05A87"/>
    <w:rsid w:val="00A13980"/>
    <w:rsid w:val="00A1621A"/>
    <w:rsid w:val="00A1752F"/>
    <w:rsid w:val="00A23AAF"/>
    <w:rsid w:val="00A27F97"/>
    <w:rsid w:val="00A322C0"/>
    <w:rsid w:val="00A352F6"/>
    <w:rsid w:val="00A41452"/>
    <w:rsid w:val="00A44E8D"/>
    <w:rsid w:val="00A531D2"/>
    <w:rsid w:val="00A642AE"/>
    <w:rsid w:val="00A643E8"/>
    <w:rsid w:val="00A64ACF"/>
    <w:rsid w:val="00A651E0"/>
    <w:rsid w:val="00A66A6B"/>
    <w:rsid w:val="00A66B23"/>
    <w:rsid w:val="00A76319"/>
    <w:rsid w:val="00A76EA4"/>
    <w:rsid w:val="00A77076"/>
    <w:rsid w:val="00A81A68"/>
    <w:rsid w:val="00A871C9"/>
    <w:rsid w:val="00A93D2C"/>
    <w:rsid w:val="00A953EE"/>
    <w:rsid w:val="00A96FBB"/>
    <w:rsid w:val="00AA31C6"/>
    <w:rsid w:val="00AA4FB1"/>
    <w:rsid w:val="00AA5C1B"/>
    <w:rsid w:val="00AB5972"/>
    <w:rsid w:val="00AC3B63"/>
    <w:rsid w:val="00AC4665"/>
    <w:rsid w:val="00AC7F4D"/>
    <w:rsid w:val="00AD040E"/>
    <w:rsid w:val="00AD0460"/>
    <w:rsid w:val="00AD2196"/>
    <w:rsid w:val="00AD6B5C"/>
    <w:rsid w:val="00AE58EC"/>
    <w:rsid w:val="00AE5E3A"/>
    <w:rsid w:val="00AE60F5"/>
    <w:rsid w:val="00AF1668"/>
    <w:rsid w:val="00AF19BF"/>
    <w:rsid w:val="00AF19EC"/>
    <w:rsid w:val="00B01FCF"/>
    <w:rsid w:val="00B13451"/>
    <w:rsid w:val="00B15258"/>
    <w:rsid w:val="00B15B12"/>
    <w:rsid w:val="00B23EB9"/>
    <w:rsid w:val="00B449A1"/>
    <w:rsid w:val="00B47544"/>
    <w:rsid w:val="00B501BF"/>
    <w:rsid w:val="00B507E6"/>
    <w:rsid w:val="00B53210"/>
    <w:rsid w:val="00B65F87"/>
    <w:rsid w:val="00B83124"/>
    <w:rsid w:val="00B852CE"/>
    <w:rsid w:val="00B902AB"/>
    <w:rsid w:val="00BA7304"/>
    <w:rsid w:val="00BB407A"/>
    <w:rsid w:val="00BC3CFC"/>
    <w:rsid w:val="00BC455C"/>
    <w:rsid w:val="00BC77EA"/>
    <w:rsid w:val="00BD6CAE"/>
    <w:rsid w:val="00BD7166"/>
    <w:rsid w:val="00BE2443"/>
    <w:rsid w:val="00BE3309"/>
    <w:rsid w:val="00BF0067"/>
    <w:rsid w:val="00BF6234"/>
    <w:rsid w:val="00C03457"/>
    <w:rsid w:val="00C03EDB"/>
    <w:rsid w:val="00C06E9D"/>
    <w:rsid w:val="00C073F8"/>
    <w:rsid w:val="00C12698"/>
    <w:rsid w:val="00C13000"/>
    <w:rsid w:val="00C13D71"/>
    <w:rsid w:val="00C17168"/>
    <w:rsid w:val="00C2264B"/>
    <w:rsid w:val="00C23D4F"/>
    <w:rsid w:val="00C26578"/>
    <w:rsid w:val="00C27F06"/>
    <w:rsid w:val="00C316AF"/>
    <w:rsid w:val="00C350F9"/>
    <w:rsid w:val="00C426DD"/>
    <w:rsid w:val="00C430BD"/>
    <w:rsid w:val="00C436C5"/>
    <w:rsid w:val="00C45541"/>
    <w:rsid w:val="00C52CD3"/>
    <w:rsid w:val="00C53049"/>
    <w:rsid w:val="00C554E5"/>
    <w:rsid w:val="00C56A75"/>
    <w:rsid w:val="00C5700C"/>
    <w:rsid w:val="00C577FF"/>
    <w:rsid w:val="00C67953"/>
    <w:rsid w:val="00C720E6"/>
    <w:rsid w:val="00C748EF"/>
    <w:rsid w:val="00C76CFC"/>
    <w:rsid w:val="00C774C9"/>
    <w:rsid w:val="00C80179"/>
    <w:rsid w:val="00C83B9C"/>
    <w:rsid w:val="00C84A5E"/>
    <w:rsid w:val="00C85F39"/>
    <w:rsid w:val="00C8626C"/>
    <w:rsid w:val="00C9035D"/>
    <w:rsid w:val="00C9237F"/>
    <w:rsid w:val="00C96C45"/>
    <w:rsid w:val="00CA0761"/>
    <w:rsid w:val="00CA11EC"/>
    <w:rsid w:val="00CA5A99"/>
    <w:rsid w:val="00CA6C0E"/>
    <w:rsid w:val="00CB62F6"/>
    <w:rsid w:val="00CD356D"/>
    <w:rsid w:val="00CD66CE"/>
    <w:rsid w:val="00CE4944"/>
    <w:rsid w:val="00CF0A8F"/>
    <w:rsid w:val="00CF177B"/>
    <w:rsid w:val="00CF2B17"/>
    <w:rsid w:val="00CF7D18"/>
    <w:rsid w:val="00D037D0"/>
    <w:rsid w:val="00D0561B"/>
    <w:rsid w:val="00D1107D"/>
    <w:rsid w:val="00D11933"/>
    <w:rsid w:val="00D27FA6"/>
    <w:rsid w:val="00D30B98"/>
    <w:rsid w:val="00D41AA6"/>
    <w:rsid w:val="00D41E82"/>
    <w:rsid w:val="00D420DE"/>
    <w:rsid w:val="00D42B24"/>
    <w:rsid w:val="00D437FB"/>
    <w:rsid w:val="00D5352F"/>
    <w:rsid w:val="00D539B3"/>
    <w:rsid w:val="00D548E9"/>
    <w:rsid w:val="00D567C5"/>
    <w:rsid w:val="00D60B64"/>
    <w:rsid w:val="00D63A8C"/>
    <w:rsid w:val="00D67A35"/>
    <w:rsid w:val="00D7075C"/>
    <w:rsid w:val="00D714D3"/>
    <w:rsid w:val="00D716E7"/>
    <w:rsid w:val="00D767AF"/>
    <w:rsid w:val="00D82099"/>
    <w:rsid w:val="00D85EE7"/>
    <w:rsid w:val="00D9042F"/>
    <w:rsid w:val="00D93A8B"/>
    <w:rsid w:val="00D94FA7"/>
    <w:rsid w:val="00DB169D"/>
    <w:rsid w:val="00DB6C52"/>
    <w:rsid w:val="00DC2866"/>
    <w:rsid w:val="00DD1629"/>
    <w:rsid w:val="00DD3A04"/>
    <w:rsid w:val="00DD3E9F"/>
    <w:rsid w:val="00DE04F0"/>
    <w:rsid w:val="00DE6413"/>
    <w:rsid w:val="00DE683A"/>
    <w:rsid w:val="00E02448"/>
    <w:rsid w:val="00E03C13"/>
    <w:rsid w:val="00E15BD8"/>
    <w:rsid w:val="00E16140"/>
    <w:rsid w:val="00E2194E"/>
    <w:rsid w:val="00E23047"/>
    <w:rsid w:val="00E25556"/>
    <w:rsid w:val="00E308DE"/>
    <w:rsid w:val="00E33C4B"/>
    <w:rsid w:val="00E34B11"/>
    <w:rsid w:val="00E47DBC"/>
    <w:rsid w:val="00E50F56"/>
    <w:rsid w:val="00E5576C"/>
    <w:rsid w:val="00E6031D"/>
    <w:rsid w:val="00E672C2"/>
    <w:rsid w:val="00E821BD"/>
    <w:rsid w:val="00E82DC2"/>
    <w:rsid w:val="00E82EB6"/>
    <w:rsid w:val="00E873C4"/>
    <w:rsid w:val="00E877EF"/>
    <w:rsid w:val="00E94EAA"/>
    <w:rsid w:val="00E9705D"/>
    <w:rsid w:val="00EA135F"/>
    <w:rsid w:val="00EA1504"/>
    <w:rsid w:val="00EA349D"/>
    <w:rsid w:val="00EA3FEC"/>
    <w:rsid w:val="00EB1F8D"/>
    <w:rsid w:val="00EC115D"/>
    <w:rsid w:val="00EC3681"/>
    <w:rsid w:val="00ED4123"/>
    <w:rsid w:val="00EE1828"/>
    <w:rsid w:val="00EE3F86"/>
    <w:rsid w:val="00EE7B99"/>
    <w:rsid w:val="00EF1A68"/>
    <w:rsid w:val="00EF32AA"/>
    <w:rsid w:val="00F00441"/>
    <w:rsid w:val="00F005A3"/>
    <w:rsid w:val="00F20DBA"/>
    <w:rsid w:val="00F21A23"/>
    <w:rsid w:val="00F24196"/>
    <w:rsid w:val="00F24205"/>
    <w:rsid w:val="00F26B7A"/>
    <w:rsid w:val="00F337AF"/>
    <w:rsid w:val="00F350B4"/>
    <w:rsid w:val="00F40F26"/>
    <w:rsid w:val="00F42B55"/>
    <w:rsid w:val="00F42DF2"/>
    <w:rsid w:val="00F64D18"/>
    <w:rsid w:val="00F67862"/>
    <w:rsid w:val="00F70BE7"/>
    <w:rsid w:val="00F71434"/>
    <w:rsid w:val="00F7272E"/>
    <w:rsid w:val="00F75622"/>
    <w:rsid w:val="00F86641"/>
    <w:rsid w:val="00F90E9C"/>
    <w:rsid w:val="00FA0436"/>
    <w:rsid w:val="00FA3153"/>
    <w:rsid w:val="00FA39E0"/>
    <w:rsid w:val="00FB0794"/>
    <w:rsid w:val="00FB2589"/>
    <w:rsid w:val="00FB6800"/>
    <w:rsid w:val="00FC7A92"/>
    <w:rsid w:val="00FD13B9"/>
    <w:rsid w:val="00FD5B21"/>
    <w:rsid w:val="00FD729F"/>
    <w:rsid w:val="00FD7857"/>
    <w:rsid w:val="00FE0D41"/>
    <w:rsid w:val="00FE38D5"/>
    <w:rsid w:val="00FE5FF2"/>
    <w:rsid w:val="00FF0A91"/>
    <w:rsid w:val="00FF3393"/>
    <w:rsid w:val="00FF52B1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2E21"/>
  <w15:docId w15:val="{E5E54F7E-86E0-4DEF-8479-DD71B231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2E4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94FA7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B501BF"/>
    <w:pPr>
      <w:suppressLineNumbers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0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1BF"/>
    <w:rPr>
      <w:rFonts w:ascii="Arial Unicode MS" w:eastAsia="Times New Roman" w:hAnsi="Arial Unicode MS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345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392966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392966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E15FF"/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8E15FF"/>
    <w:rPr>
      <w:rFonts w:ascii="Times New Roman" w:hAnsi="Times New Roman"/>
      <w:sz w:val="24"/>
    </w:rPr>
  </w:style>
  <w:style w:type="paragraph" w:customStyle="1" w:styleId="Tre">
    <w:name w:val="Treść"/>
    <w:rsid w:val="003408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34087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4F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4F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3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09B"/>
    <w:rPr>
      <w:rFonts w:ascii="Arial Unicode MS" w:eastAsia="Times New Roman" w:hAnsi="Arial Unicode M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09B"/>
    <w:rPr>
      <w:rFonts w:ascii="Arial Unicode MS" w:eastAsia="Times New Roman" w:hAnsi="Arial Unicode M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A618-30B6-48B0-8819-16E13D62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B2107</dc:creator>
  <cp:lastModifiedBy>Przemysław Ściesiński</cp:lastModifiedBy>
  <cp:revision>201</cp:revision>
  <dcterms:created xsi:type="dcterms:W3CDTF">2024-02-02T11:54:00Z</dcterms:created>
  <dcterms:modified xsi:type="dcterms:W3CDTF">2024-04-24T09:20:00Z</dcterms:modified>
</cp:coreProperties>
</file>