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A3" w:rsidRDefault="004037A3" w:rsidP="005E3BFB">
      <w:pPr>
        <w:keepNext/>
        <w:suppressAutoHyphens/>
        <w:spacing w:after="120" w:line="360" w:lineRule="auto"/>
        <w:jc w:val="right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5E3BFB" w:rsidRPr="005E3BFB" w:rsidRDefault="005E3BFB" w:rsidP="005E3BFB">
      <w:pPr>
        <w:keepNext/>
        <w:suppressAutoHyphens/>
        <w:spacing w:after="120" w:line="360" w:lineRule="auto"/>
        <w:jc w:val="right"/>
        <w:outlineLvl w:val="8"/>
        <w:rPr>
          <w:rFonts w:ascii="Times New Roman" w:eastAsia="Times New Roman" w:hAnsi="Times New Roman" w:cs="Times New Roman"/>
          <w:b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Cs w:val="20"/>
          <w:lang w:eastAsia="pl-PL"/>
        </w:rPr>
        <w:t>Załącznik 1</w:t>
      </w:r>
      <w:r w:rsidR="0069420F">
        <w:rPr>
          <w:rFonts w:ascii="Times New Roman" w:eastAsia="Times New Roman" w:hAnsi="Times New Roman" w:cs="Times New Roman"/>
          <w:b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.2</w:t>
      </w:r>
      <w:r w:rsidRPr="005E3BFB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do SWZ</w:t>
      </w:r>
    </w:p>
    <w:p w:rsidR="00123965" w:rsidRPr="005E3BFB" w:rsidRDefault="0069420F" w:rsidP="005E3BFB">
      <w:pPr>
        <w:spacing w:after="120" w:line="360" w:lineRule="auto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69420F">
        <w:rPr>
          <w:rFonts w:ascii="Times New Roman" w:eastAsia="Times New Roman" w:hAnsi="Times New Roman" w:cs="Times New Roman"/>
          <w:b/>
          <w:szCs w:val="20"/>
          <w:lang w:eastAsia="pl-PL"/>
        </w:rPr>
        <w:t>Formularz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parametrów oferowanych Część II </w:t>
      </w:r>
      <w:r w:rsidR="005E3BFB">
        <w:rPr>
          <w:rFonts w:ascii="Times New Roman" w:eastAsia="Times New Roman" w:hAnsi="Times New Roman" w:cs="Times New Roman"/>
          <w:b/>
          <w:szCs w:val="20"/>
          <w:lang w:eastAsia="pl-PL"/>
        </w:rPr>
        <w:t>– Nosze główne wraz z transporterem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4116"/>
        <w:gridCol w:w="3964"/>
      </w:tblGrid>
      <w:tr w:rsidR="0069420F" w:rsidRPr="001914D1" w:rsidTr="0069420F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Nosze główne</w:t>
            </w:r>
          </w:p>
        </w:tc>
      </w:tr>
      <w:tr w:rsidR="0069420F" w:rsidRPr="001914D1" w:rsidTr="0069420F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6942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Parametry wymagane przez Zamawiającego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6942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Parametry oferowane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*</w:t>
            </w:r>
            <w:r w:rsidRPr="006942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Podać markę, model oraz dołączyć folder wraz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opisem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Wykonane z materiału odpornego na korozję, lub z materiału zabezpieczonego przed korozją.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Nosze potrójnie łamane z możliwością ustawienia pozycji przeciwwstrząsowej i pozycji zmniejszającej napięcie mięśni brzucha.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Przystosowane do prowadzenia ucisków klatki piersiowej, wyposażone w twardą płytę na całej długości pod materacem umożliwiającą ustawienie wszystkich dostępnych funkcji.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możliwością płynnej regulacji kąta nachylenia oparcia pod plecami do min. 75 stopni.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Wyposażone w podgłówek mocowany bezpośrednio do ramy noszy umożliwiający ich przedłużenie w celu transportu pacjenta o znacznym wzroście.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Uchylny stabilizator głowy pacjenta z możliwością wyjęcia i ułożenia głowy na wznak do pozycji węszącej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zestawem pasów zabezpieczających pacjenta o regulowanej długości mocowanych bezpośrednio do ramy noszy.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Wyposażone w cienki niesprężynujący materac z tworzywa sztucznego umożliwiający ustawienie wszystkich dostępnych pozycji transportowych, o powierzchni antypoślizgowej, nie absorbujący krwi i płynów, odporny na środki dezynfekujące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Ze składanymi wzdłużnie lub na boki poręczami bocznymi.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wysuwanymi rączkami do przenoszenia umieszczonymi z przodu i tyłu noszy.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wprowadzania noszy przodem i tyłem do kierunku jazdy.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0652E7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Zamawiający rekomenduje fabrycznie zamontowany gumowy odbojnik na całej długości bocznej ramy noszy chroniący przed uszkodzeniami przy otarciach lub uderzeniach podczas przenoszenia lub prowadzenia na transporterze. </w:t>
            </w: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Zamawiający dopuszcza na zasadzie równoważności nosze nie posiadające fabrycznie zamontowanego gumowego odbojnika w których zastosowano profile niwelujące ryzyko otarć dużych powierzchni.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Waga noszy  max. 23 kg (podać)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Trwałe oznakowanie najlepiej graficzne z elementów związanych z obsługą noszy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Dodatkowy zestaw pasów lub uprzęży służący do transportu małych dzieci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Max obciążenie dopuszczalne min 227 kg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Nosze główne wyposażone w systemem umożliwiający zdjęcie blokady z goleni w momencie wprowadzania noszy na lawetę.</w:t>
            </w:r>
          </w:p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44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C56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Norma EN 1865-1:2010 (lub norm równoważnych)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C566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4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Transporter noszy głównych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420F" w:rsidRPr="0069420F" w:rsidRDefault="0069420F" w:rsidP="005E3BF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Wyposażony w system niezależnego składania się goleni przednich i tylnych przy wprowadzaniu i wyprowadzaniu noszy z/do ambulansu pozwalający na bezpieczne wprowadzenie/wyprowadzenie  noszy z pacjentem nawet przez jedną osobę.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Szybki, bezpieczny i łatwy system połączenia z noszami.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4678E9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Transporter noszy głównych wyposażony w mechanizm umożliwiający przesuwanie w płaszczy horyzontalnej wzdłuż najszerszego boku podstawy, umożliwiając dostęp do szafek znajdującej się na ścianie bocznej ambulansu. </w:t>
            </w: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Zamawiający uzna za spełnienie wymogu opisanego w punkcie 151 i 152 jeśli to transporter wraz z noszami zamontowany na stole medycznym (lawecie) będzie posiadał taką funkcjonalność.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4678E9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Transporter noszy głównych wyposażony w mechanizm umożliwiający przesuwanie w płaszczy horyzontalnej wzdłuż najkrótszego boku podstawy, w taki sposób, żeby płyta transportera noszy głównych wyjeżdżała poza obrys stopnia zewnętrznego pojazdu. </w:t>
            </w: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Zamawiający uzna za spełnienie wymogu opisanego w punkcie 151 i 152 jeśli to transporter wraz z noszami zamontowany na stole medycznym (lawecie) będzie posiadał taką funkcjonalność.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57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Możliwość ustawienia pozycji </w:t>
            </w:r>
            <w:proofErr w:type="spellStart"/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Trendelenburga</w:t>
            </w:r>
            <w:proofErr w:type="spellEnd"/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Fowlera na minimum trzech poziomach pochylenia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Możliwości zapięcia noszy przodem lub nogami do kierunku jazdy.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Wyposażony w min. 4 kółka obrotowe w zakresie 360 stopni, min. 2 kółka wyposażone w hamulce.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Fabrycznie zamontowany system pozwalający na prowadzenie transportera bokiem przez jedną osobę z dowolnego miejsca na obwodzie transportera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57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Wszystkie kółka jezdne o średnicy min. 150 mm z blokadą przednich kółek do jazdy na wprost.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 główne uchwyty transportera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4678E9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Dodatkowe uchylne uchwyty transportera  ułatwiające manewrowanie z możliwością odblokowania goleni, </w:t>
            </w: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Zamawiający dopuści na zasadzie równoważności inne rozwiązania techniczne ułatwiające manewrowanie z możliwością odblokowania goleni.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Rama noszy wykonana z profili o przekroju podwyższającym wytrzymałość na ekstremalne obciążenia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Przyciski blokady goleni kodowane kolorami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Trwałe oznakowanie najlepiej graficzne elementów związanych z obsługą transportera.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Wykonany z materiału odpornego na korozję, lub z materiału zabezpieczonego przed korozją.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Max obciążenie dopuszczalne transportera min. 227 kg.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Waga transportera  max 28 kg.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Mocowanie transportera do lawety ambulansu zgodne z wymogami PN EN 1789. Poświadczone odpowiednim dokumentem wystawionym przez niezależną badawczą jednostkę notyfikowaną zgodnie z uprawnieniami wg dyrektywy medycznej 93/42/EEC- dostarczyć przy dostawie. (lub równoważne)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420F" w:rsidRPr="001914D1" w:rsidTr="0069420F">
        <w:tblPrEx>
          <w:tblCellMar>
            <w:left w:w="70" w:type="dxa"/>
            <w:right w:w="70" w:type="dxa"/>
          </w:tblCellMar>
        </w:tblPrEx>
        <w:trPr>
          <w:trHeight w:val="67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5E3BFB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420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oferowany system transportowy (nosze i transporter) - deklaracja zgodności.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9420F" w:rsidRPr="0069420F" w:rsidRDefault="0069420F" w:rsidP="003C0E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5E3BFB" w:rsidRDefault="005E3BFB"/>
    <w:p w:rsidR="0069420F" w:rsidRDefault="0069420F" w:rsidP="0069420F">
      <w:pPr>
        <w:rPr>
          <w:rFonts w:ascii="Times New Roman" w:hAnsi="Times New Roman" w:cs="Times New Roman"/>
          <w:b/>
        </w:rPr>
      </w:pPr>
      <w:r w:rsidRPr="00F413E4">
        <w:rPr>
          <w:rFonts w:ascii="Times New Roman" w:hAnsi="Times New Roman" w:cs="Times New Roman"/>
          <w:b/>
        </w:rPr>
        <w:t>*wypełnia wykonawca – dopuszcza się wyłącznie pakiet wypełniony w całości.</w:t>
      </w:r>
    </w:p>
    <w:p w:rsidR="0069420F" w:rsidRDefault="0069420F"/>
    <w:sectPr w:rsidR="006942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ABD" w:rsidRDefault="00BA0ABD" w:rsidP="005E3BFB">
      <w:pPr>
        <w:spacing w:after="0" w:line="240" w:lineRule="auto"/>
      </w:pPr>
      <w:r>
        <w:separator/>
      </w:r>
    </w:p>
  </w:endnote>
  <w:endnote w:type="continuationSeparator" w:id="0">
    <w:p w:rsidR="00BA0ABD" w:rsidRDefault="00BA0ABD" w:rsidP="005E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ABD" w:rsidRDefault="00BA0ABD" w:rsidP="005E3BFB">
      <w:pPr>
        <w:spacing w:after="0" w:line="240" w:lineRule="auto"/>
      </w:pPr>
      <w:r>
        <w:separator/>
      </w:r>
    </w:p>
  </w:footnote>
  <w:footnote w:type="continuationSeparator" w:id="0">
    <w:p w:rsidR="00BA0ABD" w:rsidRDefault="00BA0ABD" w:rsidP="005E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FB" w:rsidRPr="00126676" w:rsidRDefault="005E3BFB" w:rsidP="005E3BFB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color w:val="002060"/>
        <w:sz w:val="24"/>
      </w:rPr>
    </w:pPr>
    <w:r w:rsidRPr="00126676">
      <w:rPr>
        <w:rFonts w:ascii="Times New Roman" w:hAnsi="Times New Roman" w:cs="Times New Roman"/>
        <w:color w:val="002060"/>
        <w:sz w:val="24"/>
      </w:rPr>
      <w:t>Wzmocnienie strategicznej infrastruktury ochrony zdrowia Programu Operacyjnego Infrastruktura i Środowisko 2014 – 2020 (</w:t>
    </w:r>
    <w:proofErr w:type="spellStart"/>
    <w:r w:rsidRPr="00126676">
      <w:rPr>
        <w:rFonts w:ascii="Times New Roman" w:hAnsi="Times New Roman" w:cs="Times New Roman"/>
        <w:color w:val="002060"/>
        <w:sz w:val="24"/>
      </w:rPr>
      <w:t>POIiŚ</w:t>
    </w:r>
    <w:proofErr w:type="spellEnd"/>
    <w:r w:rsidRPr="00126676">
      <w:rPr>
        <w:rFonts w:ascii="Times New Roman" w:hAnsi="Times New Roman" w:cs="Times New Roman"/>
        <w:color w:val="002060"/>
        <w:sz w:val="24"/>
      </w:rPr>
      <w:t xml:space="preserve"> na lata 2014 – 2020) w związku </w:t>
    </w:r>
    <w:r w:rsidRPr="00126676">
      <w:rPr>
        <w:rFonts w:ascii="Times New Roman" w:hAnsi="Times New Roman" w:cs="Times New Roman"/>
        <w:color w:val="002060"/>
        <w:sz w:val="24"/>
      </w:rPr>
      <w:br/>
      <w:t>z realizacją działań związanych z zapobieganiem, przeciwdziałaniem i zwalczaniem „COVID-19” oraz innych chorób zakaźnych.</w:t>
    </w:r>
  </w:p>
  <w:p w:rsidR="00C566F8" w:rsidRDefault="00C566F8" w:rsidP="00C566F8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</w:p>
  <w:p w:rsidR="005E3BFB" w:rsidRPr="00C566F8" w:rsidRDefault="00C566F8" w:rsidP="00C566F8">
    <w:pPr>
      <w:pStyle w:val="Nagwek"/>
      <w:jc w:val="both"/>
      <w:rPr>
        <w:rFonts w:ascii="Times New Roman" w:hAnsi="Times New Roman" w:cs="Times New Roman"/>
        <w:b/>
        <w:color w:val="002060"/>
        <w:sz w:val="24"/>
      </w:rPr>
    </w:pPr>
    <w:r w:rsidRPr="004F57C5">
      <w:rPr>
        <w:rFonts w:ascii="Times New Roman" w:hAnsi="Times New Roman" w:cs="Times New Roman"/>
        <w:b/>
        <w:color w:val="002060"/>
        <w:sz w:val="24"/>
      </w:rPr>
      <w:t>DZP-RJ-TP.002.2021-COVID19</w:t>
    </w:r>
    <w:r w:rsidR="0069420F">
      <w:rPr>
        <w:rFonts w:ascii="Times New Roman" w:hAnsi="Times New Roman" w:cs="Times New Roman"/>
        <w:b/>
        <w:color w:val="002060"/>
        <w:sz w:val="24"/>
      </w:rPr>
      <w:t xml:space="preserve"> </w:t>
    </w:r>
    <w:r w:rsidR="0069420F">
      <w:rPr>
        <w:rFonts w:ascii="Times New Roman" w:hAnsi="Times New Roman" w:cs="Times New Roman"/>
        <w:b/>
        <w:color w:val="002060"/>
        <w:sz w:val="24"/>
      </w:rPr>
      <w:tab/>
    </w:r>
    <w:r w:rsidR="0069420F">
      <w:rPr>
        <w:rFonts w:ascii="Times New Roman" w:hAnsi="Times New Roman" w:cs="Times New Roman"/>
        <w:b/>
        <w:color w:val="002060"/>
        <w:sz w:val="24"/>
      </w:rPr>
      <w:tab/>
      <w:t>Załącznik 11.2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6FF"/>
    <w:multiLevelType w:val="hybridMultilevel"/>
    <w:tmpl w:val="820A1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FB"/>
    <w:rsid w:val="00123965"/>
    <w:rsid w:val="00126676"/>
    <w:rsid w:val="004037A3"/>
    <w:rsid w:val="005E3BFB"/>
    <w:rsid w:val="0069420F"/>
    <w:rsid w:val="00BA0ABD"/>
    <w:rsid w:val="00C5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06286-5E82-4803-8388-CF3CFED2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B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BFB"/>
  </w:style>
  <w:style w:type="paragraph" w:styleId="Stopka">
    <w:name w:val="footer"/>
    <w:basedOn w:val="Normalny"/>
    <w:link w:val="StopkaZnak"/>
    <w:uiPriority w:val="99"/>
    <w:unhideWhenUsed/>
    <w:rsid w:val="005E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Mobilny</cp:lastModifiedBy>
  <cp:revision>2</cp:revision>
  <dcterms:created xsi:type="dcterms:W3CDTF">2021-04-02T09:28:00Z</dcterms:created>
  <dcterms:modified xsi:type="dcterms:W3CDTF">2021-04-02T09:28:00Z</dcterms:modified>
</cp:coreProperties>
</file>